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护理</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专业</w:t>
      </w:r>
      <w:bookmarkStart w:id="0" w:name="_Toc14267314"/>
      <w:bookmarkStart w:id="1" w:name="_Toc14341402"/>
      <w:bookmarkStart w:id="2" w:name="_Toc35334271"/>
      <w:bookmarkStart w:id="3" w:name="_Toc14343067"/>
      <w:r>
        <w:rPr>
          <w:rFonts w:hint="eastAsia" w:ascii="方正小标宋简体" w:hAnsi="方正小标宋简体" w:eastAsia="方正小标宋简体" w:cs="方正小标宋简体"/>
          <w:sz w:val="44"/>
          <w:szCs w:val="44"/>
        </w:rPr>
        <w:t>人才培养方案</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版本信息：PYFA-202</w:t>
      </w:r>
      <w:r>
        <w:rPr>
          <w:rFonts w:hint="eastAsia" w:ascii="仿宋_GB2312" w:hAnsi="仿宋_GB2312" w:eastAsia="仿宋_GB2312" w:cs="仿宋_GB2312"/>
          <w:sz w:val="32"/>
          <w:szCs w:val="32"/>
          <w:lang w:val="en-US" w:eastAsia="zh-CN"/>
        </w:rPr>
        <w:t>3HL</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制定人：</w:t>
      </w:r>
      <w:r>
        <w:rPr>
          <w:rFonts w:hint="eastAsia" w:ascii="仿宋_GB2312" w:hAnsi="仿宋_GB2312" w:eastAsia="仿宋_GB2312" w:cs="仿宋_GB2312"/>
          <w:sz w:val="32"/>
          <w:szCs w:val="32"/>
          <w:lang w:val="en-US" w:eastAsia="zh-CN"/>
        </w:rPr>
        <w:t>护理</w:t>
      </w:r>
      <w:r>
        <w:rPr>
          <w:rFonts w:hint="eastAsia" w:ascii="仿宋_GB2312" w:hAnsi="仿宋_GB2312" w:eastAsia="仿宋_GB2312" w:cs="仿宋_GB2312"/>
          <w:sz w:val="32"/>
          <w:szCs w:val="32"/>
        </w:rPr>
        <w:t>专业团队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年9月</w:t>
      </w:r>
      <w:r>
        <w:rPr>
          <w:rFonts w:hint="eastAsia" w:ascii="仿宋_GB2312" w:hAnsi="仿宋_GB2312" w:eastAsia="仿宋_GB2312" w:cs="仿宋_GB2312"/>
          <w:sz w:val="32"/>
          <w:szCs w:val="32"/>
          <w:lang w:eastAsia="zh-CN"/>
        </w:rPr>
        <w:t>新疆应用</w:t>
      </w:r>
      <w:r>
        <w:rPr>
          <w:rFonts w:hint="eastAsia" w:ascii="仿宋_GB2312" w:hAnsi="仿宋_GB2312" w:eastAsia="仿宋_GB2312" w:cs="仿宋_GB2312"/>
          <w:sz w:val="32"/>
          <w:szCs w:val="32"/>
        </w:rPr>
        <w:t>职业技术学院党委会审核通过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所属学院：</w:t>
      </w:r>
      <w:r>
        <w:rPr>
          <w:rFonts w:hint="eastAsia" w:ascii="仿宋_GB2312" w:hAnsi="仿宋_GB2312" w:eastAsia="仿宋_GB2312" w:cs="仿宋_GB2312"/>
          <w:sz w:val="32"/>
          <w:szCs w:val="32"/>
          <w:lang w:val="en-US" w:eastAsia="zh-CN"/>
        </w:rPr>
        <w:t>护理与健康</w:t>
      </w:r>
      <w:r>
        <w:rPr>
          <w:rFonts w:hint="eastAsia" w:ascii="仿宋_GB2312" w:hAnsi="仿宋_GB2312" w:eastAsia="仿宋_GB2312" w:cs="仿宋_GB2312"/>
          <w:sz w:val="32"/>
          <w:szCs w:val="32"/>
        </w:rPr>
        <w:t>学院</w:t>
      </w:r>
    </w:p>
    <w:p>
      <w:pPr>
        <w:pStyle w:val="3"/>
        <w:keepNext/>
        <w:keepLines/>
        <w:pageBreakBefore w:val="0"/>
        <w:widowControl w:val="0"/>
        <w:kinsoku/>
        <w:wordWrap/>
        <w:overflowPunct/>
        <w:topLinePunct w:val="0"/>
        <w:autoSpaceDE/>
        <w:autoSpaceDN/>
        <w:bidi w:val="0"/>
        <w:adjustRightInd/>
        <w:snapToGrid/>
        <w:spacing w:before="0" w:after="0" w:line="360" w:lineRule="auto"/>
        <w:ind w:firstLine="157" w:firstLineChars="49"/>
        <w:textAlignment w:val="auto"/>
        <w:rPr>
          <w:rFonts w:hint="eastAsia" w:ascii="黑体" w:hAnsi="黑体" w:eastAsia="黑体"/>
          <w:sz w:val="32"/>
          <w:szCs w:val="36"/>
        </w:rPr>
      </w:pPr>
      <w:bookmarkStart w:id="4" w:name="_Toc14343068"/>
      <w:r>
        <w:rPr>
          <w:rFonts w:hint="eastAsia" w:ascii="黑体" w:hAnsi="黑体" w:eastAsia="黑体"/>
          <w:sz w:val="32"/>
          <w:szCs w:val="36"/>
        </w:rPr>
        <w:t>一、专业名称及代码</w:t>
      </w:r>
      <w:bookmarkEnd w:id="4"/>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专业名称：</w:t>
      </w:r>
      <w:r>
        <w:rPr>
          <w:rFonts w:hint="eastAsia" w:ascii="仿宋_GB2312" w:hAnsi="仿宋_GB2312" w:eastAsia="仿宋_GB2312" w:cs="仿宋_GB2312"/>
          <w:sz w:val="32"/>
          <w:szCs w:val="32"/>
          <w:lang w:val="en-US" w:eastAsia="zh-CN"/>
        </w:rPr>
        <w:t>护理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专业代码：</w:t>
      </w:r>
      <w:r>
        <w:rPr>
          <w:rFonts w:hint="eastAsia" w:ascii="仿宋_GB2312" w:hAnsi="仿宋_GB2312" w:eastAsia="仿宋_GB2312" w:cs="仿宋_GB2312"/>
          <w:sz w:val="32"/>
          <w:szCs w:val="32"/>
          <w:lang w:val="en-US" w:eastAsia="zh-CN"/>
        </w:rPr>
        <w:t>520201</w:t>
      </w:r>
      <w:bookmarkStart w:id="5" w:name="_Toc14343069"/>
    </w:p>
    <w:p>
      <w:pPr>
        <w:keepNext w:val="0"/>
        <w:keepLines w:val="0"/>
        <w:pageBreakBefore w:val="0"/>
        <w:widowControl w:val="0"/>
        <w:kinsoku/>
        <w:wordWrap/>
        <w:overflowPunct/>
        <w:topLinePunct w:val="0"/>
        <w:autoSpaceDE/>
        <w:autoSpaceDN/>
        <w:bidi w:val="0"/>
        <w:adjustRightInd/>
        <w:snapToGrid/>
        <w:spacing w:line="560" w:lineRule="exact"/>
        <w:ind w:firstLine="157" w:firstLineChars="49"/>
        <w:textAlignment w:val="auto"/>
        <w:rPr>
          <w:rFonts w:hint="eastAsia" w:ascii="黑体" w:hAnsi="黑体" w:eastAsia="黑体" w:cstheme="majorBidi"/>
          <w:b/>
          <w:bCs/>
          <w:kern w:val="2"/>
          <w:sz w:val="32"/>
          <w:szCs w:val="36"/>
          <w:lang w:val="en-US" w:eastAsia="zh-CN" w:bidi="ar-SA"/>
        </w:rPr>
      </w:pPr>
      <w:r>
        <w:rPr>
          <w:rFonts w:hint="eastAsia" w:ascii="黑体" w:hAnsi="黑体" w:eastAsia="黑体" w:cstheme="majorBidi"/>
          <w:b/>
          <w:bCs/>
          <w:kern w:val="2"/>
          <w:sz w:val="32"/>
          <w:szCs w:val="36"/>
          <w:lang w:val="en-US" w:eastAsia="zh-CN" w:bidi="ar-SA"/>
        </w:rPr>
        <w:t>二、入学要求</w:t>
      </w:r>
      <w:bookmarkEnd w:id="5"/>
    </w:p>
    <w:p>
      <w:pPr>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普通高级中学毕业或中等职业学校毕业。</w:t>
      </w:r>
    </w:p>
    <w:p>
      <w:pPr>
        <w:keepNext w:val="0"/>
        <w:keepLines w:val="0"/>
        <w:pageBreakBefore w:val="0"/>
        <w:widowControl w:val="0"/>
        <w:kinsoku/>
        <w:wordWrap/>
        <w:overflowPunct/>
        <w:topLinePunct w:val="0"/>
        <w:autoSpaceDE/>
        <w:autoSpaceDN/>
        <w:bidi w:val="0"/>
        <w:adjustRightInd/>
        <w:snapToGrid/>
        <w:spacing w:line="560" w:lineRule="exact"/>
        <w:ind w:firstLine="157" w:firstLineChars="49"/>
        <w:textAlignment w:val="auto"/>
        <w:rPr>
          <w:rFonts w:hint="eastAsia" w:ascii="黑体" w:hAnsi="黑体" w:eastAsia="黑体" w:cstheme="majorBidi"/>
          <w:b/>
          <w:bCs/>
          <w:kern w:val="2"/>
          <w:sz w:val="32"/>
          <w:szCs w:val="36"/>
          <w:lang w:val="en-US" w:eastAsia="zh-CN" w:bidi="ar-SA"/>
        </w:rPr>
      </w:pPr>
      <w:bookmarkStart w:id="6" w:name="_Toc14343070"/>
      <w:r>
        <w:rPr>
          <w:rFonts w:hint="eastAsia" w:ascii="黑体" w:hAnsi="黑体" w:eastAsia="黑体" w:cstheme="majorBidi"/>
          <w:b/>
          <w:bCs/>
          <w:kern w:val="2"/>
          <w:sz w:val="32"/>
          <w:szCs w:val="36"/>
          <w:lang w:val="en-US" w:eastAsia="zh-CN" w:bidi="ar-SA"/>
        </w:rPr>
        <w:t>三、修业年限</w:t>
      </w:r>
      <w:bookmarkEnd w:id="6"/>
    </w:p>
    <w:p>
      <w:pPr>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3年。</w:t>
      </w:r>
    </w:p>
    <w:p>
      <w:pPr>
        <w:pStyle w:val="3"/>
        <w:widowControl/>
        <w:spacing w:before="0" w:beforeAutospacing="0" w:after="0" w:afterAutospacing="0" w:line="360" w:lineRule="auto"/>
        <w:ind w:left="0" w:firstLine="157" w:firstLineChars="49"/>
        <w:rPr>
          <w:rFonts w:hint="eastAsia" w:ascii="黑体" w:hAnsi="宋体" w:eastAsia="黑体" w:cs="Times New Roman"/>
          <w:b/>
          <w:bCs/>
          <w:kern w:val="2"/>
          <w:sz w:val="28"/>
          <w:szCs w:val="28"/>
        </w:rPr>
      </w:pPr>
      <w:bookmarkStart w:id="7" w:name="_Toc14343071"/>
      <w:r>
        <w:rPr>
          <w:rFonts w:hint="eastAsia" w:ascii="黑体" w:hAnsi="宋体" w:eastAsia="黑体" w:cs="黑体"/>
          <w:b/>
          <w:bCs/>
          <w:kern w:val="2"/>
          <w:sz w:val="32"/>
          <w:szCs w:val="32"/>
        </w:rPr>
        <w:t>四、职业面向</w:t>
      </w:r>
      <w:r>
        <w:rPr>
          <w:rStyle w:val="14"/>
          <w:rFonts w:asciiTheme="minorHAnsi" w:hAnsiTheme="minorHAnsi" w:eastAsiaTheme="minorEastAsia" w:cstheme="minorBidi"/>
          <w:b w:val="0"/>
          <w:bCs w:val="0"/>
          <w:color w:val="00B0F0"/>
          <w:sz w:val="21"/>
          <w:szCs w:val="21"/>
        </w:rPr>
        <w:footnoteReference w:id="0"/>
      </w:r>
    </w:p>
    <w:bookmarkEnd w:id="7"/>
    <w:tbl>
      <w:tblPr>
        <w:tblStyle w:val="15"/>
        <w:tblW w:w="9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84"/>
        <w:gridCol w:w="1329"/>
        <w:gridCol w:w="2432"/>
        <w:gridCol w:w="1723"/>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 w:hRule="atLeast"/>
          <w:jc w:val="center"/>
        </w:trPr>
        <w:tc>
          <w:tcPr>
            <w:tcW w:w="1101" w:type="dxa"/>
            <w:vAlign w:val="center"/>
          </w:tcPr>
          <w:p>
            <w:pPr>
              <w:pStyle w:val="17"/>
              <w:spacing w:line="240" w:lineRule="auto"/>
              <w:jc w:val="center"/>
              <w:rPr>
                <w:rFonts w:hint="eastAsia"/>
                <w:b/>
                <w:color w:val="auto"/>
                <w:sz w:val="21"/>
                <w:szCs w:val="21"/>
              </w:rPr>
            </w:pPr>
            <w:r>
              <w:rPr>
                <w:rFonts w:hint="eastAsia"/>
                <w:b/>
                <w:color w:val="auto"/>
                <w:sz w:val="21"/>
                <w:szCs w:val="21"/>
              </w:rPr>
              <w:t>专业大类</w:t>
            </w:r>
          </w:p>
          <w:p>
            <w:pPr>
              <w:pStyle w:val="17"/>
              <w:spacing w:line="240" w:lineRule="auto"/>
              <w:jc w:val="center"/>
              <w:rPr>
                <w:rFonts w:hint="eastAsia" w:ascii="宋体" w:hAnsi="宋体" w:eastAsia="宋体" w:cs="Times New Roman"/>
                <w:b/>
                <w:color w:val="auto"/>
                <w:kern w:val="0"/>
                <w:sz w:val="21"/>
                <w:szCs w:val="21"/>
                <w:lang w:val="en-US" w:eastAsia="zh-CN" w:bidi="ar-SA"/>
              </w:rPr>
            </w:pPr>
            <w:r>
              <w:rPr>
                <w:rFonts w:hint="eastAsia"/>
                <w:b/>
                <w:color w:val="auto"/>
                <w:sz w:val="21"/>
                <w:szCs w:val="21"/>
              </w:rPr>
              <w:t>（代码）</w:t>
            </w:r>
          </w:p>
        </w:tc>
        <w:tc>
          <w:tcPr>
            <w:tcW w:w="984" w:type="dxa"/>
            <w:vAlign w:val="center"/>
          </w:tcPr>
          <w:p>
            <w:pPr>
              <w:pStyle w:val="17"/>
              <w:tabs>
                <w:tab w:val="center" w:pos="1109"/>
                <w:tab w:val="right" w:pos="2098"/>
              </w:tabs>
              <w:jc w:val="center"/>
              <w:rPr>
                <w:b/>
                <w:color w:val="auto"/>
                <w:sz w:val="21"/>
                <w:szCs w:val="21"/>
              </w:rPr>
            </w:pPr>
            <w:r>
              <w:rPr>
                <w:rFonts w:hint="eastAsia"/>
                <w:b/>
                <w:color w:val="auto"/>
                <w:sz w:val="21"/>
                <w:szCs w:val="21"/>
              </w:rPr>
              <w:t>专业类</w:t>
            </w:r>
          </w:p>
          <w:p>
            <w:pPr>
              <w:pStyle w:val="17"/>
              <w:tabs>
                <w:tab w:val="center" w:pos="1109"/>
                <w:tab w:val="right" w:pos="2098"/>
              </w:tabs>
              <w:jc w:val="center"/>
              <w:rPr>
                <w:rFonts w:hint="eastAsia" w:ascii="宋体" w:hAnsi="宋体" w:eastAsia="宋体" w:cs="Times New Roman"/>
                <w:b/>
                <w:bCs/>
                <w:color w:val="auto"/>
                <w:kern w:val="0"/>
                <w:sz w:val="21"/>
                <w:szCs w:val="21"/>
                <w:lang w:val="en-US" w:eastAsia="zh-CN" w:bidi="ar-SA"/>
              </w:rPr>
            </w:pPr>
            <w:r>
              <w:rPr>
                <w:rFonts w:hint="eastAsia"/>
                <w:b/>
                <w:color w:val="auto"/>
                <w:sz w:val="21"/>
                <w:szCs w:val="21"/>
              </w:rPr>
              <w:t>（代码）</w:t>
            </w:r>
          </w:p>
        </w:tc>
        <w:tc>
          <w:tcPr>
            <w:tcW w:w="1329" w:type="dxa"/>
            <w:vAlign w:val="center"/>
          </w:tcPr>
          <w:p>
            <w:pPr>
              <w:pStyle w:val="17"/>
              <w:tabs>
                <w:tab w:val="center" w:pos="1109"/>
                <w:tab w:val="right" w:pos="2098"/>
              </w:tabs>
              <w:jc w:val="center"/>
              <w:rPr>
                <w:rFonts w:hint="eastAsia" w:ascii="宋体" w:hAnsi="宋体" w:eastAsia="宋体" w:cs="Times New Roman"/>
                <w:b/>
                <w:bCs/>
                <w:color w:val="auto"/>
                <w:kern w:val="0"/>
                <w:sz w:val="21"/>
                <w:szCs w:val="21"/>
                <w:lang w:val="en-US" w:eastAsia="zh-CN" w:bidi="ar-SA"/>
              </w:rPr>
            </w:pPr>
            <w:r>
              <w:rPr>
                <w:rFonts w:hint="eastAsia"/>
                <w:b/>
                <w:color w:val="auto"/>
                <w:sz w:val="21"/>
                <w:szCs w:val="21"/>
              </w:rPr>
              <w:t>本专业所对应的行业</w:t>
            </w:r>
            <w:r>
              <w:rPr>
                <w:rStyle w:val="14"/>
                <w:rFonts w:asciiTheme="minorHAnsi" w:hAnsiTheme="minorHAnsi" w:eastAsiaTheme="minorEastAsia" w:cstheme="minorBidi"/>
                <w:color w:val="00B0F0"/>
                <w:kern w:val="2"/>
                <w:sz w:val="21"/>
                <w:szCs w:val="21"/>
              </w:rPr>
              <w:footnoteReference w:id="1"/>
            </w:r>
          </w:p>
        </w:tc>
        <w:tc>
          <w:tcPr>
            <w:tcW w:w="2432" w:type="dxa"/>
            <w:vAlign w:val="center"/>
          </w:tcPr>
          <w:p>
            <w:pPr>
              <w:pStyle w:val="17"/>
              <w:tabs>
                <w:tab w:val="center" w:pos="1109"/>
                <w:tab w:val="right" w:pos="2098"/>
              </w:tabs>
              <w:jc w:val="center"/>
              <w:rPr>
                <w:rFonts w:hint="eastAsia" w:ascii="宋体" w:hAnsi="宋体" w:eastAsia="宋体" w:cs="Times New Roman"/>
                <w:b/>
                <w:bCs/>
                <w:color w:val="auto"/>
                <w:kern w:val="0"/>
                <w:sz w:val="21"/>
                <w:szCs w:val="21"/>
                <w:lang w:val="en-US" w:eastAsia="zh-CN" w:bidi="ar-SA"/>
              </w:rPr>
            </w:pPr>
            <w:r>
              <w:rPr>
                <w:rFonts w:hint="eastAsia"/>
                <w:b/>
                <w:color w:val="auto"/>
                <w:sz w:val="21"/>
                <w:szCs w:val="21"/>
              </w:rPr>
              <w:t>主要职业类别</w:t>
            </w:r>
            <w:r>
              <w:rPr>
                <w:rStyle w:val="14"/>
                <w:rFonts w:asciiTheme="minorHAnsi" w:hAnsiTheme="minorHAnsi" w:eastAsiaTheme="minorEastAsia" w:cstheme="minorBidi"/>
                <w:color w:val="00B0F0"/>
                <w:kern w:val="2"/>
                <w:sz w:val="21"/>
                <w:szCs w:val="21"/>
              </w:rPr>
              <w:footnoteReference w:id="2"/>
            </w:r>
          </w:p>
        </w:tc>
        <w:tc>
          <w:tcPr>
            <w:tcW w:w="1723" w:type="dxa"/>
            <w:vAlign w:val="center"/>
          </w:tcPr>
          <w:p>
            <w:pPr>
              <w:pStyle w:val="17"/>
              <w:spacing w:line="240" w:lineRule="auto"/>
              <w:jc w:val="center"/>
              <w:rPr>
                <w:rFonts w:hint="eastAsia" w:eastAsia="宋体"/>
                <w:b/>
                <w:color w:val="auto"/>
                <w:sz w:val="21"/>
                <w:szCs w:val="21"/>
                <w:lang w:eastAsia="zh-CN"/>
              </w:rPr>
            </w:pPr>
            <w:r>
              <w:rPr>
                <w:rFonts w:hint="eastAsia"/>
                <w:b/>
                <w:color w:val="auto"/>
                <w:sz w:val="21"/>
                <w:szCs w:val="21"/>
              </w:rPr>
              <w:t>主要岗位</w:t>
            </w:r>
            <w:r>
              <w:rPr>
                <w:rFonts w:hint="eastAsia"/>
                <w:b/>
                <w:color w:val="auto"/>
                <w:sz w:val="21"/>
                <w:szCs w:val="21"/>
                <w:lang w:eastAsia="zh-CN"/>
              </w:rPr>
              <w:t>群</w:t>
            </w:r>
          </w:p>
          <w:p>
            <w:pPr>
              <w:pStyle w:val="17"/>
              <w:spacing w:line="240" w:lineRule="auto"/>
              <w:jc w:val="center"/>
              <w:rPr>
                <w:rFonts w:hint="eastAsia" w:ascii="宋体" w:hAnsi="宋体" w:eastAsia="宋体" w:cs="Times New Roman"/>
                <w:b/>
                <w:color w:val="auto"/>
                <w:kern w:val="0"/>
                <w:sz w:val="21"/>
                <w:szCs w:val="21"/>
                <w:lang w:val="en-US" w:eastAsia="zh-CN" w:bidi="ar-SA"/>
              </w:rPr>
            </w:pPr>
            <w:r>
              <w:rPr>
                <w:rFonts w:hint="eastAsia"/>
                <w:b/>
                <w:color w:val="auto"/>
                <w:sz w:val="21"/>
                <w:szCs w:val="21"/>
              </w:rPr>
              <w:t>（</w:t>
            </w:r>
            <w:r>
              <w:rPr>
                <w:rFonts w:hint="eastAsia"/>
                <w:b/>
                <w:color w:val="auto"/>
                <w:sz w:val="21"/>
                <w:szCs w:val="21"/>
                <w:lang w:eastAsia="zh-CN"/>
              </w:rPr>
              <w:t>或</w:t>
            </w:r>
            <w:r>
              <w:rPr>
                <w:rFonts w:hint="eastAsia"/>
                <w:b/>
                <w:color w:val="auto"/>
                <w:sz w:val="21"/>
                <w:szCs w:val="21"/>
              </w:rPr>
              <w:t>技术领域）</w:t>
            </w:r>
          </w:p>
        </w:tc>
        <w:tc>
          <w:tcPr>
            <w:tcW w:w="1581" w:type="dxa"/>
            <w:vAlign w:val="center"/>
          </w:tcPr>
          <w:p>
            <w:pPr>
              <w:pStyle w:val="17"/>
              <w:spacing w:line="240" w:lineRule="auto"/>
              <w:jc w:val="center"/>
              <w:rPr>
                <w:rFonts w:hint="eastAsia" w:ascii="宋体" w:hAnsi="宋体" w:eastAsia="宋体" w:cs="Times New Roman"/>
                <w:b/>
                <w:color w:val="auto"/>
                <w:kern w:val="0"/>
                <w:sz w:val="21"/>
                <w:szCs w:val="21"/>
                <w:lang w:val="en-US" w:eastAsia="zh-CN" w:bidi="ar-SA"/>
              </w:rPr>
            </w:pPr>
            <w:r>
              <w:rPr>
                <w:rFonts w:hint="eastAsia"/>
                <w:b/>
                <w:color w:val="auto"/>
                <w:sz w:val="21"/>
                <w:szCs w:val="21"/>
              </w:rPr>
              <w:t>职业技能等级证书、行业企业标准和证书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4" w:hRule="atLeast"/>
          <w:jc w:val="center"/>
        </w:trPr>
        <w:tc>
          <w:tcPr>
            <w:tcW w:w="1101"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医药卫生</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大类</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（52）</w:t>
            </w:r>
          </w:p>
        </w:tc>
        <w:tc>
          <w:tcPr>
            <w:tcW w:w="984"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护理</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（5202）</w:t>
            </w:r>
          </w:p>
        </w:tc>
        <w:tc>
          <w:tcPr>
            <w:tcW w:w="1329"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卫生行业（84）</w:t>
            </w:r>
          </w:p>
        </w:tc>
        <w:tc>
          <w:tcPr>
            <w:tcW w:w="2432"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内科护士（2-05-08-01）</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儿科护士（2-05-08-02）</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急诊护士（2-05-08-03）</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外科护士（2-05-08-04）</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社区护士（2-05-08-05）</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妇产科护士（2-05-08-08）</w:t>
            </w:r>
          </w:p>
        </w:tc>
        <w:tc>
          <w:tcPr>
            <w:tcW w:w="1723"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临床护理</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社区护理</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健康保健</w:t>
            </w:r>
          </w:p>
        </w:tc>
        <w:tc>
          <w:tcPr>
            <w:tcW w:w="1581"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护士执业资格</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健康管理师</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公共营养师</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老年照护</w:t>
            </w:r>
          </w:p>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育婴师</w:t>
            </w:r>
          </w:p>
        </w:tc>
      </w:tr>
    </w:tbl>
    <w:p>
      <w:pPr>
        <w:pStyle w:val="3"/>
        <w:keepNext/>
        <w:keepLines/>
        <w:pageBreakBefore w:val="0"/>
        <w:widowControl w:val="0"/>
        <w:kinsoku/>
        <w:wordWrap/>
        <w:overflowPunct/>
        <w:topLinePunct w:val="0"/>
        <w:autoSpaceDE/>
        <w:autoSpaceDN/>
        <w:bidi w:val="0"/>
        <w:adjustRightInd/>
        <w:snapToGrid/>
        <w:spacing w:before="0" w:after="0" w:line="360" w:lineRule="auto"/>
        <w:ind w:firstLine="157" w:firstLineChars="49"/>
        <w:textAlignment w:val="auto"/>
        <w:rPr>
          <w:rFonts w:hint="eastAsia" w:ascii="黑体" w:hAnsi="黑体" w:eastAsia="黑体"/>
          <w:sz w:val="32"/>
          <w:szCs w:val="36"/>
        </w:rPr>
      </w:pPr>
      <w:bookmarkStart w:id="8" w:name="_Toc14343072"/>
      <w:r>
        <w:rPr>
          <w:rFonts w:hint="eastAsia" w:ascii="黑体" w:hAnsi="黑体" w:eastAsia="黑体"/>
          <w:sz w:val="32"/>
          <w:szCs w:val="36"/>
        </w:rPr>
        <w:t>五、培养目标与培养规格</w:t>
      </w:r>
      <w:bookmarkEnd w:id="8"/>
    </w:p>
    <w:p>
      <w:pPr>
        <w:keepNext w:val="0"/>
        <w:keepLines w:val="0"/>
        <w:pageBreakBefore w:val="0"/>
        <w:widowControl w:val="0"/>
        <w:kinsoku/>
        <w:wordWrap/>
        <w:overflowPunct/>
        <w:topLinePunct w:val="0"/>
        <w:autoSpaceDE/>
        <w:autoSpaceDN/>
        <w:bidi w:val="0"/>
        <w:adjustRightInd/>
        <w:snapToGrid/>
        <w:spacing w:after="156" w:afterLines="50" w:line="560" w:lineRule="exact"/>
        <w:jc w:val="left"/>
        <w:textAlignment w:val="auto"/>
        <w:rPr>
          <w:rFonts w:hint="eastAsia" w:ascii="楷体" w:hAnsi="楷体" w:eastAsia="楷体" w:cs="楷体"/>
          <w:b/>
          <w:bCs/>
          <w:color w:val="000000"/>
          <w:sz w:val="28"/>
          <w:szCs w:val="28"/>
        </w:rPr>
      </w:pPr>
      <w:r>
        <w:rPr>
          <w:rFonts w:hint="eastAsia" w:ascii="仿宋_GB2312" w:hAnsi="仿宋_GB2312" w:eastAsia="仿宋_GB2312" w:cs="仿宋_GB2312"/>
          <w:sz w:val="32"/>
          <w:szCs w:val="32"/>
        </w:rPr>
        <w:t>（一）培养目标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本专业培养为社会主义现代化建设服务，理想信念坚定，德、智、体、美、劳全面发展，适应医院及其他医疗卫生机构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康养康育机构</w:t>
      </w:r>
      <w:r>
        <w:rPr>
          <w:rFonts w:hint="eastAsia" w:ascii="仿宋_GB2312" w:hAnsi="仿宋_GB2312" w:eastAsia="仿宋_GB2312" w:cs="仿宋_GB2312"/>
          <w:color w:val="000000"/>
          <w:sz w:val="32"/>
          <w:szCs w:val="32"/>
        </w:rPr>
        <w:t>的护理岗位需要，具有一定的科学文化水平，良好的人文素养、职业道德和创新意识，精益求精的工匠精神，较强的就业能力和可持续发展的能力，掌握</w:t>
      </w:r>
      <w:r>
        <w:rPr>
          <w:rFonts w:hint="eastAsia" w:ascii="仿宋_GB2312" w:hAnsi="仿宋_GB2312" w:eastAsia="仿宋_GB2312" w:cs="仿宋_GB2312"/>
          <w:color w:val="000000"/>
          <w:sz w:val="32"/>
          <w:szCs w:val="32"/>
          <w:lang w:val="en-US" w:eastAsia="zh-CN"/>
        </w:rPr>
        <w:t>护理</w:t>
      </w:r>
      <w:r>
        <w:rPr>
          <w:rFonts w:hint="eastAsia" w:ascii="仿宋_GB2312" w:hAnsi="仿宋_GB2312" w:eastAsia="仿宋_GB2312" w:cs="仿宋_GB2312"/>
          <w:color w:val="000000"/>
          <w:sz w:val="32"/>
          <w:szCs w:val="32"/>
        </w:rPr>
        <w:t>知识和技术技能，面向</w:t>
      </w:r>
      <w:r>
        <w:rPr>
          <w:rFonts w:hint="eastAsia" w:ascii="仿宋_GB2312" w:hAnsi="仿宋_GB2312" w:eastAsia="仿宋_GB2312" w:cs="仿宋_GB2312"/>
          <w:color w:val="000000"/>
          <w:sz w:val="32"/>
          <w:szCs w:val="32"/>
          <w:lang w:val="en-US" w:eastAsia="zh-CN"/>
        </w:rPr>
        <w:t>卫生行业的内科护士、儿科护士、急诊护士、外科护士、社区护士</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职业群，能从事临床护理、社区护理、健康保健</w:t>
      </w:r>
      <w:r>
        <w:rPr>
          <w:rFonts w:hint="eastAsia" w:ascii="仿宋_GB2312" w:hAnsi="仿宋_GB2312" w:eastAsia="仿宋_GB2312" w:cs="仿宋_GB2312"/>
          <w:color w:val="000000"/>
          <w:sz w:val="32"/>
          <w:szCs w:val="32"/>
          <w:lang w:val="en-US" w:eastAsia="zh-CN"/>
        </w:rPr>
        <w:t>等工作</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eastAsia="zh-CN"/>
        </w:rPr>
        <w:t>高素质</w:t>
      </w:r>
      <w:r>
        <w:rPr>
          <w:rFonts w:hint="eastAsia" w:ascii="仿宋_GB2312" w:hAnsi="仿宋_GB2312" w:eastAsia="仿宋_GB2312" w:cs="仿宋_GB2312"/>
          <w:color w:val="000000"/>
          <w:sz w:val="32"/>
          <w:szCs w:val="32"/>
        </w:rPr>
        <w:t>复合型技术技能人才。</w:t>
      </w:r>
    </w:p>
    <w:p>
      <w:pPr>
        <w:keepNext w:val="0"/>
        <w:keepLines w:val="0"/>
        <w:pageBreakBefore w:val="0"/>
        <w:widowControl w:val="0"/>
        <w:kinsoku/>
        <w:wordWrap/>
        <w:overflowPunct/>
        <w:topLinePunct w:val="0"/>
        <w:autoSpaceDE/>
        <w:autoSpaceDN/>
        <w:bidi w:val="0"/>
        <w:adjustRightInd/>
        <w:snapToGrid/>
        <w:spacing w:after="156" w:afterLines="5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（二）培养规格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32"/>
          <w:szCs w:val="32"/>
        </w:rPr>
        <w:t>本专业毕业生应</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素质、知识和能力等方面达到以下要求：</w:t>
      </w:r>
    </w:p>
    <w:p>
      <w:pPr>
        <w:keepNext w:val="0"/>
        <w:keepLines w:val="0"/>
        <w:pageBreakBefore w:val="0"/>
        <w:widowControl w:val="0"/>
        <w:kinsoku/>
        <w:wordWrap/>
        <w:overflowPunct/>
        <w:topLinePunct w:val="0"/>
        <w:autoSpaceDE/>
        <w:autoSpaceDN/>
        <w:bidi w:val="0"/>
        <w:adjustRightInd/>
        <w:snapToGrid/>
        <w:spacing w:line="560" w:lineRule="exact"/>
        <w:ind w:firstLine="556"/>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eastAsia="zh-CN"/>
        </w:rPr>
        <w:t>）坚定拥护中国共产党领导和</w:t>
      </w:r>
      <w:r>
        <w:rPr>
          <w:rFonts w:hint="eastAsia" w:ascii="仿宋_GB2312" w:hAnsi="仿宋_GB2312" w:eastAsia="仿宋_GB2312" w:cs="仿宋_GB2312"/>
          <w:b w:val="0"/>
          <w:bCs w:val="0"/>
          <w:color w:val="000000"/>
          <w:sz w:val="32"/>
          <w:szCs w:val="32"/>
          <w:lang w:val="en-US" w:eastAsia="zh-CN"/>
        </w:rPr>
        <w:t>我国</w:t>
      </w:r>
      <w:r>
        <w:rPr>
          <w:rFonts w:hint="eastAsia" w:ascii="仿宋_GB2312" w:hAnsi="仿宋_GB2312" w:eastAsia="仿宋_GB2312" w:cs="仿宋_GB2312"/>
          <w:b w:val="0"/>
          <w:bCs w:val="0"/>
          <w:color w:val="000000"/>
          <w:sz w:val="32"/>
          <w:szCs w:val="32"/>
          <w:lang w:eastAsia="zh-CN"/>
        </w:rPr>
        <w:t>社会主义制度，努力学习马克思列宁主义、毛泽东思想、中国特色社会主义理论体系，在习近平新时代中国特色社会主义思想指引下，坚定中国特色社会主义道路自信、理论自信、制度自信、文化自信，</w:t>
      </w:r>
      <w:r>
        <w:rPr>
          <w:rFonts w:hint="eastAsia" w:ascii="仿宋_GB2312" w:hAnsi="仿宋_GB2312" w:eastAsia="仿宋_GB2312" w:cs="仿宋_GB2312"/>
          <w:b w:val="0"/>
          <w:bCs w:val="0"/>
          <w:color w:val="000000"/>
          <w:sz w:val="32"/>
          <w:szCs w:val="32"/>
          <w:lang w:val="en-US" w:eastAsia="zh-CN"/>
        </w:rPr>
        <w:t>增强</w:t>
      </w:r>
      <w:r>
        <w:rPr>
          <w:rFonts w:hint="eastAsia" w:ascii="仿宋_GB2312" w:hAnsi="仿宋_GB2312" w:eastAsia="仿宋_GB2312" w:cs="仿宋_GB2312"/>
          <w:b w:val="0"/>
          <w:bCs w:val="0"/>
          <w:color w:val="000000"/>
          <w:sz w:val="32"/>
          <w:szCs w:val="32"/>
          <w:lang w:eastAsia="zh-CN"/>
        </w:rPr>
        <w:t>对伟大祖国、中华民族、中华文化、中国共产党、中国特色社会主义的认同，践行社会主义核心价值观，树立正确的国家观、历史观、民族观、文化观、宗教观，铸牢中华民族共同体意识，大力弘扬以爱国主义为核心的民族精神，具有深厚的爱国情感和中华民族自豪感，积极拥护民族团结，扎根边疆、奉献边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eastAsia="zh-CN"/>
        </w:rPr>
        <w:t>）崇尚宪法、遵法守纪、崇德向善、诚实守信、尊重生命、热爱劳动，履行道德准则和行为规范，具有社会责任感和社会参与意识。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3</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具有质量意识、环保意识、安全意识、信息素养、工匠精神、创新思维。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（4）勇于奋斗、乐观向上，具有自我管理、自主学习能力、职业生涯规划和终身学习的意识，具有较强的集体意识和团队合作精神。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（5）具有健康的体魄、心理和健全的人格，掌握基本运动知识和1</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2项运动技能，养成良好的健身和卫生习惯，以及良好的行为习惯。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（6）具有一定的审美和人文素养，能够形成1</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2项艺术特长或爱好。</w:t>
      </w:r>
    </w:p>
    <w:p>
      <w:pPr>
        <w:keepNext w:val="0"/>
        <w:keepLines w:val="0"/>
        <w:pageBreakBefore w:val="0"/>
        <w:widowControl w:val="0"/>
        <w:kinsoku/>
        <w:wordWrap/>
        <w:overflowPunct/>
        <w:topLinePunct w:val="0"/>
        <w:autoSpaceDE/>
        <w:autoSpaceDN/>
        <w:bidi w:val="0"/>
        <w:adjustRightInd/>
        <w:snapToGrid/>
        <w:spacing w:line="560" w:lineRule="exact"/>
        <w:ind w:firstLine="556"/>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（1）掌握必备的思想政治理论、科学文化基础知识和中华优秀传统文化知识。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（2）熟悉与本专业相关的法律法规以及环境保护、安全消防等相关知识。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（3）掌握护理基本理论和基本知识，以及一定的基础医学和临床医学知识。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（4）掌握生命各阶段各系统常见疾病的概念、病因、发病机理、健康史、身心状况、辅助检查、治疗原则、护理诊断、护理措施及护理评价相关知识。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（5）掌握生命各阶段各系统常见疾病的</w:t>
      </w:r>
      <w:r>
        <w:rPr>
          <w:rFonts w:hint="eastAsia" w:ascii="仿宋_GB2312" w:hAnsi="仿宋_GB2312" w:eastAsia="仿宋_GB2312" w:cs="仿宋_GB2312"/>
          <w:b w:val="0"/>
          <w:bCs w:val="0"/>
          <w:color w:val="000000"/>
          <w:sz w:val="32"/>
          <w:szCs w:val="32"/>
          <w:lang w:val="en-US" w:eastAsia="zh-CN"/>
        </w:rPr>
        <w:t>护理</w:t>
      </w:r>
      <w:r>
        <w:rPr>
          <w:rFonts w:hint="eastAsia" w:ascii="仿宋_GB2312" w:hAnsi="仿宋_GB2312" w:eastAsia="仿宋_GB2312" w:cs="仿宋_GB2312"/>
          <w:b w:val="0"/>
          <w:bCs w:val="0"/>
          <w:color w:val="000000"/>
          <w:sz w:val="32"/>
          <w:szCs w:val="32"/>
          <w:lang w:eastAsia="zh-CN"/>
        </w:rPr>
        <w:t>教育、健康促进及职业防护相关知识。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（6）熟悉社区传染病防治以及突发公共卫生事件应对知识。</w:t>
      </w:r>
    </w:p>
    <w:p>
      <w:pPr>
        <w:keepNext w:val="0"/>
        <w:keepLines w:val="0"/>
        <w:pageBreakBefore w:val="0"/>
        <w:widowControl w:val="0"/>
        <w:kinsoku/>
        <w:wordWrap/>
        <w:overflowPunct/>
        <w:topLinePunct w:val="0"/>
        <w:autoSpaceDE/>
        <w:autoSpaceDN/>
        <w:bidi w:val="0"/>
        <w:adjustRightInd/>
        <w:snapToGrid/>
        <w:spacing w:line="560" w:lineRule="exact"/>
        <w:ind w:firstLine="313" w:firstLineChars="98"/>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eastAsia="zh-CN"/>
        </w:rPr>
        <w:t>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（1）具有为护理对象的身体、心理、社会、文化等方面提供整体护理的能力。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（2）能够对常见疾病的病情变化、治疗效果及药物不良反应进行及时处理的能力。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（3）具有探究学习、终身学习、分析问题和解决问题的能力。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（4）具有良好的语言、文字表达能力和沟通能力。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（5）能够规范地开展急危重症患者的抢救配合，具备一定的突发事件应急救护能力。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（6）能够独立进行常见疾病患者的健康教育和卫生保健指导。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（7）具有完整记录护理过程的能力。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（8）会正确使用和维护常用仪器设备。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（9）具有一定的信息技术应用和维护能力。</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4．主要职业岗位能力分析</w:t>
      </w:r>
    </w:p>
    <w:tbl>
      <w:tblPr>
        <w:tblStyle w:val="16"/>
        <w:tblW w:w="0" w:type="auto"/>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286"/>
        <w:gridCol w:w="2010"/>
        <w:gridCol w:w="2325"/>
        <w:gridCol w:w="1725"/>
      </w:tblGrid>
      <w:tr>
        <w:tblPrEx>
          <w:tblLayout w:type="fixed"/>
          <w:tblCellMar>
            <w:top w:w="0" w:type="dxa"/>
            <w:left w:w="108" w:type="dxa"/>
            <w:bottom w:w="0" w:type="dxa"/>
            <w:right w:w="108" w:type="dxa"/>
          </w:tblCellMar>
        </w:tblPrEx>
        <w:trPr>
          <w:trHeight w:val="510" w:hRule="exact"/>
        </w:trPr>
        <w:tc>
          <w:tcPr>
            <w:tcW w:w="717" w:type="dxa"/>
            <w:vAlign w:val="center"/>
          </w:tcPr>
          <w:p>
            <w:pPr>
              <w:spacing w:after="156" w:afterLines="50" w:line="360" w:lineRule="auto"/>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eastAsia="zh-CN"/>
              </w:rPr>
              <w:t>序号</w:t>
            </w:r>
          </w:p>
        </w:tc>
        <w:tc>
          <w:tcPr>
            <w:tcW w:w="1286" w:type="dxa"/>
            <w:vAlign w:val="center"/>
          </w:tcPr>
          <w:p>
            <w:pPr>
              <w:spacing w:after="156" w:afterLines="50" w:line="360" w:lineRule="auto"/>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eastAsia="zh-CN"/>
              </w:rPr>
              <w:t>职业岗位</w:t>
            </w:r>
          </w:p>
        </w:tc>
        <w:tc>
          <w:tcPr>
            <w:tcW w:w="2010" w:type="dxa"/>
            <w:vAlign w:val="center"/>
          </w:tcPr>
          <w:p>
            <w:pPr>
              <w:spacing w:after="156" w:afterLines="50" w:line="360" w:lineRule="auto"/>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eastAsia="zh-CN"/>
              </w:rPr>
              <w:t>典型工作任务</w:t>
            </w:r>
          </w:p>
        </w:tc>
        <w:tc>
          <w:tcPr>
            <w:tcW w:w="2325" w:type="dxa"/>
            <w:vAlign w:val="center"/>
          </w:tcPr>
          <w:p>
            <w:pPr>
              <w:spacing w:after="156" w:afterLines="50" w:line="360" w:lineRule="auto"/>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eastAsia="zh-CN"/>
              </w:rPr>
              <w:t>职业能力</w:t>
            </w:r>
          </w:p>
        </w:tc>
        <w:tc>
          <w:tcPr>
            <w:tcW w:w="1725" w:type="dxa"/>
            <w:vAlign w:val="center"/>
          </w:tcPr>
          <w:p>
            <w:pPr>
              <w:spacing w:after="156" w:afterLines="50" w:line="360" w:lineRule="auto"/>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eastAsia="zh-CN"/>
              </w:rPr>
              <w:t>支撑课程</w:t>
            </w:r>
          </w:p>
        </w:tc>
      </w:tr>
      <w:tr>
        <w:tblPrEx>
          <w:tblLayout w:type="fixed"/>
          <w:tblCellMar>
            <w:top w:w="0" w:type="dxa"/>
            <w:left w:w="108" w:type="dxa"/>
            <w:bottom w:w="0" w:type="dxa"/>
            <w:right w:w="108" w:type="dxa"/>
          </w:tblCellMar>
        </w:tblPrEx>
        <w:trPr>
          <w:trHeight w:val="2297" w:hRule="exact"/>
        </w:trPr>
        <w:tc>
          <w:tcPr>
            <w:tcW w:w="717" w:type="dxa"/>
            <w:vMerge w:val="restart"/>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1286" w:type="dxa"/>
            <w:vMerge w:val="restart"/>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内科护士</w:t>
            </w:r>
          </w:p>
        </w:tc>
        <w:tc>
          <w:tcPr>
            <w:tcW w:w="2010"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内科诊疗操作的配合及护理</w:t>
            </w:r>
          </w:p>
        </w:tc>
        <w:tc>
          <w:tcPr>
            <w:tcW w:w="2325"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辨析内科各疾病的临床表现、内科常见急危重症的特点，熟练进行各项内科诊疗操作的配合及护理。</w:t>
            </w:r>
          </w:p>
          <w:p>
            <w:pPr>
              <w:spacing w:line="460" w:lineRule="exact"/>
              <w:jc w:val="center"/>
              <w:rPr>
                <w:rFonts w:hint="eastAsia" w:ascii="宋体" w:hAnsi="宋体" w:eastAsia="宋体" w:cs="Times New Roman"/>
                <w:color w:val="000000"/>
                <w:szCs w:val="21"/>
                <w:lang w:eastAsia="zh-CN"/>
              </w:rPr>
            </w:pPr>
          </w:p>
        </w:tc>
        <w:tc>
          <w:tcPr>
            <w:tcW w:w="1725" w:type="dxa"/>
            <w:vMerge w:val="restart"/>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《人体解剖与组织胚胎学》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《生理学》</w:t>
            </w:r>
          </w:p>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《生物化学》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《病理学》</w:t>
            </w:r>
          </w:p>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《健康评估》</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《药理学》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《护理学导论》《基础护理》</w:t>
            </w:r>
          </w:p>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《内科护理》</w:t>
            </w:r>
          </w:p>
        </w:tc>
      </w:tr>
      <w:tr>
        <w:tblPrEx>
          <w:tblLayout w:type="fixed"/>
          <w:tblCellMar>
            <w:top w:w="0" w:type="dxa"/>
            <w:left w:w="108" w:type="dxa"/>
            <w:bottom w:w="0" w:type="dxa"/>
            <w:right w:w="108" w:type="dxa"/>
          </w:tblCellMar>
        </w:tblPrEx>
        <w:trPr>
          <w:trHeight w:val="2301" w:hRule="exact"/>
        </w:trPr>
        <w:tc>
          <w:tcPr>
            <w:tcW w:w="717" w:type="dxa"/>
            <w:vMerge w:val="continue"/>
            <w:vAlign w:val="center"/>
          </w:tcPr>
          <w:p>
            <w:pPr>
              <w:spacing w:line="460" w:lineRule="exact"/>
              <w:jc w:val="center"/>
              <w:rPr>
                <w:rFonts w:hint="eastAsia" w:ascii="宋体" w:hAnsi="宋体" w:eastAsia="宋体" w:cs="Times New Roman"/>
                <w:color w:val="000000"/>
                <w:szCs w:val="21"/>
                <w:lang w:eastAsia="zh-CN"/>
              </w:rPr>
            </w:pPr>
          </w:p>
        </w:tc>
        <w:tc>
          <w:tcPr>
            <w:tcW w:w="1286" w:type="dxa"/>
            <w:vMerge w:val="continue"/>
            <w:vAlign w:val="center"/>
          </w:tcPr>
          <w:p>
            <w:pPr>
              <w:spacing w:line="460" w:lineRule="exact"/>
              <w:jc w:val="center"/>
              <w:rPr>
                <w:rFonts w:hint="eastAsia" w:ascii="宋体" w:hAnsi="宋体" w:eastAsia="宋体" w:cs="Times New Roman"/>
                <w:color w:val="000000"/>
                <w:szCs w:val="21"/>
                <w:lang w:eastAsia="zh-CN"/>
              </w:rPr>
            </w:pPr>
          </w:p>
        </w:tc>
        <w:tc>
          <w:tcPr>
            <w:tcW w:w="2010"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2）抢救和护理急危重症患者</w:t>
            </w:r>
          </w:p>
        </w:tc>
        <w:tc>
          <w:tcPr>
            <w:tcW w:w="2325" w:type="dxa"/>
            <w:vAlign w:val="center"/>
          </w:tcPr>
          <w:p>
            <w:pPr>
              <w:spacing w:line="460" w:lineRule="exact"/>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能综合运用基础知识、基本技能配合医生对内科急危重症患者进行抢救和护理。</w:t>
            </w:r>
          </w:p>
        </w:tc>
        <w:tc>
          <w:tcPr>
            <w:tcW w:w="1725" w:type="dxa"/>
            <w:vMerge w:val="continue"/>
            <w:vAlign w:val="center"/>
          </w:tcPr>
          <w:p>
            <w:pPr>
              <w:spacing w:line="460" w:lineRule="exact"/>
              <w:jc w:val="center"/>
              <w:rPr>
                <w:rFonts w:hint="eastAsia" w:ascii="宋体" w:hAnsi="宋体" w:eastAsia="宋体" w:cs="Times New Roman"/>
                <w:color w:val="000000"/>
                <w:szCs w:val="21"/>
                <w:lang w:eastAsia="zh-CN"/>
              </w:rPr>
            </w:pPr>
          </w:p>
        </w:tc>
      </w:tr>
      <w:tr>
        <w:tblPrEx>
          <w:tblLayout w:type="fixed"/>
          <w:tblCellMar>
            <w:top w:w="0" w:type="dxa"/>
            <w:left w:w="108" w:type="dxa"/>
            <w:bottom w:w="0" w:type="dxa"/>
            <w:right w:w="108" w:type="dxa"/>
          </w:tblCellMar>
        </w:tblPrEx>
        <w:trPr>
          <w:trHeight w:val="1796" w:hRule="exact"/>
        </w:trPr>
        <w:tc>
          <w:tcPr>
            <w:tcW w:w="717" w:type="dxa"/>
            <w:vMerge w:val="continue"/>
            <w:vAlign w:val="center"/>
          </w:tcPr>
          <w:p>
            <w:pPr>
              <w:spacing w:line="460" w:lineRule="exact"/>
              <w:jc w:val="center"/>
              <w:rPr>
                <w:rFonts w:hint="eastAsia" w:ascii="宋体" w:hAnsi="宋体" w:eastAsia="宋体" w:cs="Times New Roman"/>
                <w:color w:val="000000"/>
                <w:szCs w:val="21"/>
                <w:lang w:eastAsia="zh-CN"/>
              </w:rPr>
            </w:pPr>
          </w:p>
        </w:tc>
        <w:tc>
          <w:tcPr>
            <w:tcW w:w="1286" w:type="dxa"/>
            <w:vMerge w:val="continue"/>
            <w:vAlign w:val="center"/>
          </w:tcPr>
          <w:p>
            <w:pPr>
              <w:spacing w:line="460" w:lineRule="exact"/>
              <w:jc w:val="center"/>
              <w:rPr>
                <w:rFonts w:hint="eastAsia" w:ascii="宋体" w:hAnsi="宋体" w:eastAsia="宋体" w:cs="Times New Roman"/>
                <w:color w:val="000000"/>
                <w:szCs w:val="21"/>
                <w:lang w:eastAsia="zh-CN"/>
              </w:rPr>
            </w:pPr>
          </w:p>
        </w:tc>
        <w:tc>
          <w:tcPr>
            <w:tcW w:w="2010"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3）对患者进行健康指导</w:t>
            </w:r>
          </w:p>
        </w:tc>
        <w:tc>
          <w:tcPr>
            <w:tcW w:w="232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能对内科多发病、常见病患者进行健康指导，养成 “重预防”的健康理念。</w:t>
            </w:r>
          </w:p>
          <w:p>
            <w:pPr>
              <w:spacing w:line="460" w:lineRule="exact"/>
              <w:jc w:val="center"/>
              <w:rPr>
                <w:rFonts w:hint="eastAsia" w:ascii="宋体" w:hAnsi="宋体" w:eastAsia="宋体" w:cs="Times New Roman"/>
                <w:color w:val="000000"/>
                <w:szCs w:val="21"/>
                <w:lang w:eastAsia="zh-CN"/>
              </w:rPr>
            </w:pPr>
          </w:p>
        </w:tc>
        <w:tc>
          <w:tcPr>
            <w:tcW w:w="1725" w:type="dxa"/>
            <w:vMerge w:val="continue"/>
            <w:vAlign w:val="center"/>
          </w:tcPr>
          <w:p>
            <w:pPr>
              <w:spacing w:line="460" w:lineRule="exact"/>
              <w:jc w:val="center"/>
              <w:rPr>
                <w:rFonts w:hint="eastAsia" w:ascii="宋体" w:hAnsi="宋体" w:eastAsia="宋体" w:cs="Times New Roman"/>
                <w:color w:val="000000"/>
                <w:szCs w:val="21"/>
                <w:lang w:eastAsia="zh-CN"/>
              </w:rPr>
            </w:pPr>
          </w:p>
        </w:tc>
      </w:tr>
      <w:tr>
        <w:tblPrEx>
          <w:tblLayout w:type="fixed"/>
          <w:tblCellMar>
            <w:top w:w="0" w:type="dxa"/>
            <w:left w:w="108" w:type="dxa"/>
            <w:bottom w:w="0" w:type="dxa"/>
            <w:right w:w="108" w:type="dxa"/>
          </w:tblCellMar>
        </w:tblPrEx>
        <w:trPr>
          <w:trHeight w:val="2904" w:hRule="exact"/>
        </w:trPr>
        <w:tc>
          <w:tcPr>
            <w:tcW w:w="717" w:type="dxa"/>
            <w:vMerge w:val="restart"/>
            <w:vAlign w:val="center"/>
          </w:tcPr>
          <w:p>
            <w:pPr>
              <w:spacing w:line="460" w:lineRule="exact"/>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2</w:t>
            </w:r>
          </w:p>
        </w:tc>
        <w:tc>
          <w:tcPr>
            <w:tcW w:w="1286" w:type="dxa"/>
            <w:vMerge w:val="restart"/>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儿科护士</w:t>
            </w:r>
          </w:p>
        </w:tc>
        <w:tc>
          <w:tcPr>
            <w:tcW w:w="2010"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儿科诊疗操作的配合及护理</w:t>
            </w:r>
          </w:p>
        </w:tc>
        <w:tc>
          <w:tcPr>
            <w:tcW w:w="2325"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辨析儿科各疾病的临床表现、儿科常见急危重症的特点，熟练进行各项儿科诊疗操作的配合及护理。</w:t>
            </w: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tc>
        <w:tc>
          <w:tcPr>
            <w:tcW w:w="1725" w:type="dxa"/>
            <w:vMerge w:val="restart"/>
            <w:vAlign w:val="center"/>
          </w:tcPr>
          <w:p>
            <w:pPr>
              <w:spacing w:line="46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《人体解剖与组织胚胎学》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《生理学》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《生物化学》</w:t>
            </w:r>
          </w:p>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《药理学》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《儿科护理》</w:t>
            </w:r>
          </w:p>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《健康评估》</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《护理药理学》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《护理学导论》《护理学基础》</w:t>
            </w:r>
          </w:p>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《综合护理技能实训》</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《儿科护理学》</w:t>
            </w:r>
          </w:p>
        </w:tc>
      </w:tr>
      <w:tr>
        <w:tblPrEx>
          <w:tblLayout w:type="fixed"/>
          <w:tblCellMar>
            <w:top w:w="0" w:type="dxa"/>
            <w:left w:w="108" w:type="dxa"/>
            <w:bottom w:w="0" w:type="dxa"/>
            <w:right w:w="108" w:type="dxa"/>
          </w:tblCellMar>
        </w:tblPrEx>
        <w:trPr>
          <w:trHeight w:val="2380" w:hRule="exact"/>
        </w:trPr>
        <w:tc>
          <w:tcPr>
            <w:tcW w:w="717" w:type="dxa"/>
            <w:vMerge w:val="continue"/>
            <w:vAlign w:val="center"/>
          </w:tcPr>
          <w:p>
            <w:pPr>
              <w:spacing w:line="460" w:lineRule="exact"/>
              <w:jc w:val="center"/>
              <w:rPr>
                <w:rFonts w:hint="eastAsia" w:ascii="宋体" w:hAnsi="宋体" w:eastAsia="宋体" w:cs="Times New Roman"/>
                <w:color w:val="000000"/>
                <w:szCs w:val="21"/>
                <w:lang w:eastAsia="zh-CN"/>
              </w:rPr>
            </w:pPr>
          </w:p>
        </w:tc>
        <w:tc>
          <w:tcPr>
            <w:tcW w:w="1286" w:type="dxa"/>
            <w:vMerge w:val="continue"/>
            <w:vAlign w:val="center"/>
          </w:tcPr>
          <w:p>
            <w:pPr>
              <w:spacing w:line="460" w:lineRule="exact"/>
              <w:jc w:val="center"/>
              <w:rPr>
                <w:rFonts w:hint="eastAsia" w:ascii="宋体" w:hAnsi="宋体" w:eastAsia="宋体" w:cs="Times New Roman"/>
                <w:color w:val="000000"/>
                <w:szCs w:val="21"/>
                <w:lang w:eastAsia="zh-CN"/>
              </w:rPr>
            </w:pPr>
          </w:p>
        </w:tc>
        <w:tc>
          <w:tcPr>
            <w:tcW w:w="2010"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2）抢救和护理急危重症患者</w:t>
            </w:r>
          </w:p>
        </w:tc>
        <w:tc>
          <w:tcPr>
            <w:tcW w:w="232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能综合运用基础知识、基本技能配合医生对儿科急危重症患者进行抢救和护理</w:t>
            </w:r>
          </w:p>
        </w:tc>
        <w:tc>
          <w:tcPr>
            <w:tcW w:w="1725" w:type="dxa"/>
            <w:vMerge w:val="continue"/>
            <w:vAlign w:val="center"/>
          </w:tcPr>
          <w:p>
            <w:pPr>
              <w:spacing w:line="460" w:lineRule="exact"/>
              <w:jc w:val="center"/>
              <w:rPr>
                <w:rFonts w:hint="eastAsia" w:ascii="宋体" w:hAnsi="宋体" w:eastAsia="宋体" w:cs="Times New Roman"/>
                <w:color w:val="000000"/>
                <w:szCs w:val="21"/>
                <w:lang w:eastAsia="zh-CN"/>
              </w:rPr>
            </w:pPr>
          </w:p>
        </w:tc>
      </w:tr>
      <w:tr>
        <w:tblPrEx>
          <w:tblLayout w:type="fixed"/>
          <w:tblCellMar>
            <w:top w:w="0" w:type="dxa"/>
            <w:left w:w="108" w:type="dxa"/>
            <w:bottom w:w="0" w:type="dxa"/>
            <w:right w:w="108" w:type="dxa"/>
          </w:tblCellMar>
        </w:tblPrEx>
        <w:trPr>
          <w:trHeight w:val="1907" w:hRule="exact"/>
        </w:trPr>
        <w:tc>
          <w:tcPr>
            <w:tcW w:w="717" w:type="dxa"/>
            <w:vMerge w:val="continue"/>
            <w:vAlign w:val="center"/>
          </w:tcPr>
          <w:p>
            <w:pPr>
              <w:spacing w:line="460" w:lineRule="exact"/>
              <w:jc w:val="center"/>
              <w:rPr>
                <w:rFonts w:hint="eastAsia" w:ascii="宋体" w:hAnsi="宋体" w:eastAsia="宋体" w:cs="Times New Roman"/>
                <w:color w:val="000000"/>
                <w:szCs w:val="21"/>
                <w:lang w:val="en-US" w:eastAsia="zh-CN"/>
              </w:rPr>
            </w:pPr>
          </w:p>
        </w:tc>
        <w:tc>
          <w:tcPr>
            <w:tcW w:w="1286" w:type="dxa"/>
            <w:vMerge w:val="continue"/>
            <w:vAlign w:val="center"/>
          </w:tcPr>
          <w:p>
            <w:pPr>
              <w:spacing w:line="460" w:lineRule="exact"/>
              <w:jc w:val="center"/>
              <w:rPr>
                <w:rFonts w:hint="eastAsia" w:ascii="宋体" w:hAnsi="宋体" w:eastAsia="宋体" w:cs="Times New Roman"/>
                <w:color w:val="000000"/>
                <w:szCs w:val="21"/>
                <w:lang w:eastAsia="zh-CN"/>
              </w:rPr>
            </w:pPr>
          </w:p>
        </w:tc>
        <w:tc>
          <w:tcPr>
            <w:tcW w:w="2010"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3）对患者进行健康指导</w:t>
            </w:r>
          </w:p>
        </w:tc>
        <w:tc>
          <w:tcPr>
            <w:tcW w:w="232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能对儿科多发病、常见病患者进行健康指导，养成 “重预防”的健康理念。</w:t>
            </w:r>
          </w:p>
          <w:p>
            <w:pPr>
              <w:spacing w:line="460" w:lineRule="exact"/>
              <w:jc w:val="center"/>
              <w:rPr>
                <w:rFonts w:hint="eastAsia" w:ascii="宋体" w:hAnsi="宋体" w:eastAsia="宋体" w:cs="Times New Roman"/>
                <w:color w:val="000000"/>
                <w:szCs w:val="21"/>
                <w:lang w:val="en-US" w:eastAsia="zh-CN"/>
              </w:rPr>
            </w:pPr>
          </w:p>
        </w:tc>
        <w:tc>
          <w:tcPr>
            <w:tcW w:w="1725" w:type="dxa"/>
            <w:vMerge w:val="continue"/>
            <w:vAlign w:val="center"/>
          </w:tcPr>
          <w:p>
            <w:pPr>
              <w:spacing w:line="460" w:lineRule="exact"/>
              <w:jc w:val="center"/>
              <w:rPr>
                <w:rFonts w:hint="eastAsia" w:ascii="宋体" w:hAnsi="宋体" w:eastAsia="宋体" w:cs="Times New Roman"/>
                <w:color w:val="000000"/>
                <w:szCs w:val="21"/>
                <w:lang w:eastAsia="zh-CN"/>
              </w:rPr>
            </w:pPr>
          </w:p>
        </w:tc>
      </w:tr>
      <w:tr>
        <w:tblPrEx>
          <w:tblLayout w:type="fixed"/>
          <w:tblCellMar>
            <w:top w:w="0" w:type="dxa"/>
            <w:left w:w="108" w:type="dxa"/>
            <w:bottom w:w="0" w:type="dxa"/>
            <w:right w:w="108" w:type="dxa"/>
          </w:tblCellMar>
        </w:tblPrEx>
        <w:trPr>
          <w:trHeight w:val="2437" w:hRule="exact"/>
        </w:trPr>
        <w:tc>
          <w:tcPr>
            <w:tcW w:w="717" w:type="dxa"/>
            <w:vMerge w:val="restart"/>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w:t>
            </w:r>
          </w:p>
        </w:tc>
        <w:tc>
          <w:tcPr>
            <w:tcW w:w="1286" w:type="dxa"/>
            <w:vMerge w:val="restart"/>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外科护士</w:t>
            </w:r>
          </w:p>
        </w:tc>
        <w:tc>
          <w:tcPr>
            <w:tcW w:w="2010"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外科诊疗操作的配合及护理</w:t>
            </w:r>
          </w:p>
        </w:tc>
        <w:tc>
          <w:tcPr>
            <w:tcW w:w="2325"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辨析外科各疾病的临床表现、外科常见急危重症的特点，熟练进行各项内科诊疗操作的配合及护理。</w:t>
            </w:r>
          </w:p>
          <w:p>
            <w:pPr>
              <w:spacing w:line="460" w:lineRule="exact"/>
              <w:jc w:val="center"/>
              <w:rPr>
                <w:rFonts w:hint="eastAsia" w:ascii="宋体" w:hAnsi="宋体" w:eastAsia="宋体" w:cs="Times New Roman"/>
                <w:color w:val="000000"/>
                <w:szCs w:val="21"/>
                <w:lang w:eastAsia="zh-CN"/>
              </w:rPr>
            </w:pPr>
          </w:p>
        </w:tc>
        <w:tc>
          <w:tcPr>
            <w:tcW w:w="1725" w:type="dxa"/>
            <w:vMerge w:val="restart"/>
            <w:vAlign w:val="center"/>
          </w:tcPr>
          <w:p>
            <w:pPr>
              <w:spacing w:line="46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《人体解剖与组织胚胎学》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《生理学》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《生物化学》</w:t>
            </w:r>
          </w:p>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《药理学》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《病理学》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《健康评估》</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《护理学导论》《基础护理》</w:t>
            </w:r>
          </w:p>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《外科护理》</w:t>
            </w: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eastAsia" w:ascii="宋体" w:hAnsi="宋体" w:eastAsia="宋体" w:cs="Times New Roman"/>
                <w:color w:val="000000"/>
                <w:szCs w:val="21"/>
                <w:lang w:val="en-US" w:eastAsia="zh-CN"/>
              </w:rPr>
            </w:pPr>
          </w:p>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《综合护理技能实训》</w:t>
            </w:r>
          </w:p>
          <w:p>
            <w:pPr>
              <w:spacing w:line="460" w:lineRule="exact"/>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《儿科护理学》</w:t>
            </w:r>
          </w:p>
        </w:tc>
      </w:tr>
      <w:tr>
        <w:tblPrEx>
          <w:tblLayout w:type="fixed"/>
          <w:tblCellMar>
            <w:top w:w="0" w:type="dxa"/>
            <w:left w:w="108" w:type="dxa"/>
            <w:bottom w:w="0" w:type="dxa"/>
            <w:right w:w="108" w:type="dxa"/>
          </w:tblCellMar>
        </w:tblPrEx>
        <w:trPr>
          <w:trHeight w:val="1911" w:hRule="exact"/>
        </w:trPr>
        <w:tc>
          <w:tcPr>
            <w:tcW w:w="717" w:type="dxa"/>
            <w:vMerge w:val="continue"/>
            <w:vAlign w:val="center"/>
          </w:tcPr>
          <w:p>
            <w:pPr>
              <w:spacing w:line="460" w:lineRule="exact"/>
              <w:jc w:val="center"/>
              <w:rPr>
                <w:rFonts w:hint="eastAsia" w:ascii="宋体" w:hAnsi="宋体" w:eastAsia="宋体" w:cs="Times New Roman"/>
                <w:color w:val="000000"/>
                <w:szCs w:val="21"/>
                <w:lang w:eastAsia="zh-CN"/>
              </w:rPr>
            </w:pPr>
          </w:p>
        </w:tc>
        <w:tc>
          <w:tcPr>
            <w:tcW w:w="1286" w:type="dxa"/>
            <w:vMerge w:val="continue"/>
            <w:vAlign w:val="center"/>
          </w:tcPr>
          <w:p>
            <w:pPr>
              <w:spacing w:line="460" w:lineRule="exact"/>
              <w:jc w:val="center"/>
              <w:rPr>
                <w:rFonts w:hint="eastAsia" w:ascii="宋体" w:hAnsi="宋体" w:eastAsia="宋体" w:cs="Times New Roman"/>
                <w:color w:val="000000"/>
                <w:szCs w:val="21"/>
                <w:lang w:eastAsia="zh-CN"/>
              </w:rPr>
            </w:pPr>
          </w:p>
        </w:tc>
        <w:tc>
          <w:tcPr>
            <w:tcW w:w="2010" w:type="dxa"/>
            <w:vAlign w:val="center"/>
          </w:tcPr>
          <w:p>
            <w:pPr>
              <w:spacing w:line="460" w:lineRule="exact"/>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2）抢救和护理急危重症患者</w:t>
            </w:r>
          </w:p>
        </w:tc>
        <w:tc>
          <w:tcPr>
            <w:tcW w:w="2325" w:type="dxa"/>
            <w:vAlign w:val="center"/>
          </w:tcPr>
          <w:p>
            <w:pPr>
              <w:spacing w:line="460" w:lineRule="exact"/>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能综合运用基础知识、基本技能配合医生对外科急危重症患者进行抢救和护理。</w:t>
            </w:r>
          </w:p>
        </w:tc>
        <w:tc>
          <w:tcPr>
            <w:tcW w:w="1725" w:type="dxa"/>
            <w:vMerge w:val="continue"/>
            <w:vAlign w:val="center"/>
          </w:tcPr>
          <w:p>
            <w:pPr>
              <w:spacing w:line="460" w:lineRule="exact"/>
              <w:jc w:val="center"/>
              <w:rPr>
                <w:rFonts w:hint="eastAsia" w:ascii="宋体" w:hAnsi="宋体" w:eastAsia="宋体" w:cs="Times New Roman"/>
                <w:color w:val="000000"/>
                <w:szCs w:val="21"/>
                <w:lang w:eastAsia="zh-CN"/>
              </w:rPr>
            </w:pPr>
          </w:p>
        </w:tc>
      </w:tr>
      <w:tr>
        <w:tblPrEx>
          <w:tblLayout w:type="fixed"/>
          <w:tblCellMar>
            <w:top w:w="0" w:type="dxa"/>
            <w:left w:w="108" w:type="dxa"/>
            <w:bottom w:w="0" w:type="dxa"/>
            <w:right w:w="108" w:type="dxa"/>
          </w:tblCellMar>
        </w:tblPrEx>
        <w:trPr>
          <w:trHeight w:val="2299" w:hRule="exact"/>
        </w:trPr>
        <w:tc>
          <w:tcPr>
            <w:tcW w:w="717" w:type="dxa"/>
            <w:vMerge w:val="continue"/>
            <w:vAlign w:val="center"/>
          </w:tcPr>
          <w:p>
            <w:pPr>
              <w:spacing w:line="460" w:lineRule="exact"/>
              <w:jc w:val="center"/>
              <w:rPr>
                <w:rFonts w:hint="eastAsia" w:ascii="宋体" w:hAnsi="宋体" w:eastAsia="宋体" w:cs="Times New Roman"/>
                <w:color w:val="000000"/>
                <w:szCs w:val="21"/>
                <w:lang w:eastAsia="zh-CN"/>
              </w:rPr>
            </w:pPr>
          </w:p>
        </w:tc>
        <w:tc>
          <w:tcPr>
            <w:tcW w:w="1286" w:type="dxa"/>
            <w:vMerge w:val="continue"/>
            <w:vAlign w:val="center"/>
          </w:tcPr>
          <w:p>
            <w:pPr>
              <w:spacing w:line="460" w:lineRule="exact"/>
              <w:jc w:val="center"/>
              <w:rPr>
                <w:rFonts w:hint="eastAsia" w:ascii="宋体" w:hAnsi="宋体" w:eastAsia="宋体" w:cs="Times New Roman"/>
                <w:color w:val="000000"/>
                <w:szCs w:val="21"/>
                <w:lang w:eastAsia="zh-CN"/>
              </w:rPr>
            </w:pPr>
          </w:p>
        </w:tc>
        <w:tc>
          <w:tcPr>
            <w:tcW w:w="2010"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3）对患者进行健康指导</w:t>
            </w:r>
          </w:p>
        </w:tc>
        <w:tc>
          <w:tcPr>
            <w:tcW w:w="232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能对外科多发病、常见病患者进行健康指导，养成 “重预防”的健康理念。</w:t>
            </w:r>
          </w:p>
          <w:p>
            <w:pPr>
              <w:spacing w:line="460" w:lineRule="exact"/>
              <w:jc w:val="center"/>
              <w:rPr>
                <w:rFonts w:hint="eastAsia" w:ascii="宋体" w:hAnsi="宋体" w:eastAsia="宋体" w:cs="Times New Roman"/>
                <w:color w:val="000000"/>
                <w:szCs w:val="21"/>
                <w:lang w:val="en-US" w:eastAsia="zh-CN"/>
              </w:rPr>
            </w:pPr>
          </w:p>
        </w:tc>
        <w:tc>
          <w:tcPr>
            <w:tcW w:w="1725" w:type="dxa"/>
            <w:vMerge w:val="continue"/>
            <w:vAlign w:val="center"/>
          </w:tcPr>
          <w:p>
            <w:pPr>
              <w:spacing w:line="460" w:lineRule="exact"/>
              <w:jc w:val="center"/>
              <w:rPr>
                <w:rFonts w:hint="eastAsia" w:ascii="宋体" w:hAnsi="宋体" w:eastAsia="宋体" w:cs="Times New Roman"/>
                <w:color w:val="000000"/>
                <w:szCs w:val="21"/>
                <w:lang w:eastAsia="zh-CN"/>
              </w:rPr>
            </w:pPr>
          </w:p>
        </w:tc>
      </w:tr>
      <w:tr>
        <w:tblPrEx>
          <w:tblLayout w:type="fixed"/>
          <w:tblCellMar>
            <w:top w:w="0" w:type="dxa"/>
            <w:left w:w="108" w:type="dxa"/>
            <w:bottom w:w="0" w:type="dxa"/>
            <w:right w:w="108" w:type="dxa"/>
          </w:tblCellMar>
        </w:tblPrEx>
        <w:trPr>
          <w:trHeight w:val="2256" w:hRule="exact"/>
        </w:trPr>
        <w:tc>
          <w:tcPr>
            <w:tcW w:w="717" w:type="dxa"/>
            <w:vMerge w:val="restart"/>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w:t>
            </w:r>
          </w:p>
        </w:tc>
        <w:tc>
          <w:tcPr>
            <w:tcW w:w="1286" w:type="dxa"/>
            <w:vMerge w:val="restart"/>
            <w:vAlign w:val="center"/>
          </w:tcPr>
          <w:p>
            <w:pPr>
              <w:spacing w:line="460" w:lineRule="exact"/>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急诊科护士</w:t>
            </w:r>
          </w:p>
        </w:tc>
        <w:tc>
          <w:tcPr>
            <w:tcW w:w="2010"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急诊科诊疗操作的配合及护理</w:t>
            </w:r>
          </w:p>
        </w:tc>
        <w:tc>
          <w:tcPr>
            <w:tcW w:w="2325"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辨析急诊科常见急危重症的特点，熟练进行各项急诊科诊疗操作的配合及护理。</w:t>
            </w:r>
          </w:p>
          <w:p>
            <w:pPr>
              <w:spacing w:line="460" w:lineRule="exact"/>
              <w:jc w:val="center"/>
              <w:rPr>
                <w:rFonts w:hint="eastAsia" w:ascii="宋体" w:hAnsi="宋体" w:eastAsia="宋体" w:cs="Times New Roman"/>
                <w:color w:val="000000"/>
                <w:szCs w:val="21"/>
                <w:lang w:val="en-US" w:eastAsia="zh-CN"/>
              </w:rPr>
            </w:pPr>
          </w:p>
        </w:tc>
        <w:tc>
          <w:tcPr>
            <w:tcW w:w="1725" w:type="dxa"/>
            <w:vMerge w:val="restart"/>
            <w:vAlign w:val="center"/>
          </w:tcPr>
          <w:p>
            <w:pPr>
              <w:spacing w:line="46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《人体解剖与组织胚胎学》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《生理学》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《病理学》</w:t>
            </w:r>
          </w:p>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《健康评估》</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《药理学》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《护理学导论》《基础护理》</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《内科护理》</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《外科护理》</w:t>
            </w:r>
          </w:p>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《急危重症护理》</w:t>
            </w:r>
          </w:p>
          <w:p>
            <w:pPr>
              <w:spacing w:line="460" w:lineRule="exact"/>
              <w:jc w:val="center"/>
              <w:rPr>
                <w:rFonts w:hint="eastAsia" w:ascii="宋体" w:hAnsi="宋体" w:eastAsia="宋体" w:cs="Times New Roman"/>
                <w:color w:val="000000"/>
                <w:szCs w:val="21"/>
                <w:lang w:eastAsia="zh-CN"/>
              </w:rPr>
            </w:pPr>
          </w:p>
        </w:tc>
      </w:tr>
      <w:tr>
        <w:tblPrEx>
          <w:tblLayout w:type="fixed"/>
          <w:tblCellMar>
            <w:top w:w="0" w:type="dxa"/>
            <w:left w:w="108" w:type="dxa"/>
            <w:bottom w:w="0" w:type="dxa"/>
            <w:right w:w="108" w:type="dxa"/>
          </w:tblCellMar>
        </w:tblPrEx>
        <w:trPr>
          <w:trHeight w:val="2780" w:hRule="exact"/>
        </w:trPr>
        <w:tc>
          <w:tcPr>
            <w:tcW w:w="717" w:type="dxa"/>
            <w:vMerge w:val="continue"/>
            <w:vAlign w:val="center"/>
          </w:tcPr>
          <w:p>
            <w:pPr>
              <w:spacing w:after="156" w:afterLines="50" w:line="360" w:lineRule="auto"/>
              <w:jc w:val="center"/>
              <w:rPr>
                <w:rFonts w:hint="eastAsia" w:ascii="宋体" w:hAnsi="宋体" w:eastAsia="宋体" w:cs="宋体"/>
                <w:sz w:val="21"/>
                <w:szCs w:val="21"/>
                <w:vertAlign w:val="baseline"/>
                <w:lang w:val="en-US" w:eastAsia="zh-CN"/>
              </w:rPr>
            </w:pPr>
          </w:p>
        </w:tc>
        <w:tc>
          <w:tcPr>
            <w:tcW w:w="1286" w:type="dxa"/>
            <w:vMerge w:val="continue"/>
            <w:vAlign w:val="center"/>
          </w:tcPr>
          <w:p>
            <w:pPr>
              <w:spacing w:after="156" w:afterLines="50" w:line="360" w:lineRule="auto"/>
              <w:jc w:val="center"/>
              <w:rPr>
                <w:rFonts w:hint="eastAsia" w:ascii="宋体" w:hAnsi="宋体" w:eastAsia="宋体" w:cs="宋体"/>
                <w:sz w:val="21"/>
                <w:szCs w:val="21"/>
                <w:vertAlign w:val="baseline"/>
                <w:lang w:val="en-US" w:eastAsia="zh-CN"/>
              </w:rPr>
            </w:pPr>
          </w:p>
        </w:tc>
        <w:tc>
          <w:tcPr>
            <w:tcW w:w="2010"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2）抢救和护理急危重症患者</w:t>
            </w:r>
          </w:p>
        </w:tc>
        <w:tc>
          <w:tcPr>
            <w:tcW w:w="232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能综合运用基础知识、基本技能配合医生对急危重症患者进行抢救和护理。</w:t>
            </w:r>
          </w:p>
        </w:tc>
        <w:tc>
          <w:tcPr>
            <w:tcW w:w="1725" w:type="dxa"/>
            <w:vMerge w:val="continue"/>
            <w:vAlign w:val="center"/>
          </w:tcPr>
          <w:p>
            <w:pPr>
              <w:spacing w:after="156" w:afterLines="50" w:line="360" w:lineRule="auto"/>
              <w:jc w:val="center"/>
              <w:rPr>
                <w:rFonts w:hint="eastAsia" w:ascii="宋体" w:hAnsi="宋体" w:eastAsia="宋体" w:cs="宋体"/>
                <w:sz w:val="21"/>
                <w:szCs w:val="21"/>
                <w:vertAlign w:val="baseline"/>
                <w:lang w:eastAsia="zh-CN"/>
              </w:rPr>
            </w:pPr>
          </w:p>
        </w:tc>
      </w:tr>
      <w:tr>
        <w:tblPrEx>
          <w:tblLayout w:type="fixed"/>
          <w:tblCellMar>
            <w:top w:w="0" w:type="dxa"/>
            <w:left w:w="108" w:type="dxa"/>
            <w:bottom w:w="0" w:type="dxa"/>
            <w:right w:w="108" w:type="dxa"/>
          </w:tblCellMar>
        </w:tblPrEx>
        <w:trPr>
          <w:trHeight w:val="1610" w:hRule="exact"/>
        </w:trPr>
        <w:tc>
          <w:tcPr>
            <w:tcW w:w="717" w:type="dxa"/>
            <w:vMerge w:val="continue"/>
            <w:vAlign w:val="center"/>
          </w:tcPr>
          <w:p>
            <w:pPr>
              <w:spacing w:after="156" w:afterLines="50" w:line="360" w:lineRule="auto"/>
              <w:jc w:val="center"/>
              <w:rPr>
                <w:rFonts w:hint="eastAsia" w:ascii="宋体" w:hAnsi="宋体" w:eastAsia="宋体" w:cs="宋体"/>
                <w:sz w:val="21"/>
                <w:szCs w:val="21"/>
                <w:vertAlign w:val="baseline"/>
                <w:lang w:val="en-US" w:eastAsia="zh-CN"/>
              </w:rPr>
            </w:pPr>
          </w:p>
        </w:tc>
        <w:tc>
          <w:tcPr>
            <w:tcW w:w="1286" w:type="dxa"/>
            <w:vMerge w:val="continue"/>
            <w:vAlign w:val="center"/>
          </w:tcPr>
          <w:p>
            <w:pPr>
              <w:spacing w:after="156" w:afterLines="50" w:line="360" w:lineRule="auto"/>
              <w:jc w:val="center"/>
              <w:rPr>
                <w:rFonts w:hint="eastAsia" w:ascii="宋体" w:hAnsi="宋体" w:eastAsia="宋体" w:cs="宋体"/>
                <w:sz w:val="21"/>
                <w:szCs w:val="21"/>
                <w:vertAlign w:val="baseline"/>
                <w:lang w:val="en-US" w:eastAsia="zh-CN"/>
              </w:rPr>
            </w:pPr>
          </w:p>
        </w:tc>
        <w:tc>
          <w:tcPr>
            <w:tcW w:w="2010"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3）对患者进行健康指导</w:t>
            </w:r>
          </w:p>
        </w:tc>
        <w:tc>
          <w:tcPr>
            <w:tcW w:w="232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能对急诊科常见病患者进行健康指导，养成 “重预防”的健康理念。</w:t>
            </w:r>
          </w:p>
          <w:p>
            <w:pPr>
              <w:spacing w:line="460" w:lineRule="exact"/>
              <w:jc w:val="center"/>
              <w:rPr>
                <w:rFonts w:hint="eastAsia" w:ascii="宋体" w:hAnsi="宋体" w:eastAsia="宋体" w:cs="Times New Roman"/>
                <w:color w:val="000000"/>
                <w:szCs w:val="21"/>
                <w:lang w:val="en-US" w:eastAsia="zh-CN"/>
              </w:rPr>
            </w:pPr>
          </w:p>
        </w:tc>
        <w:tc>
          <w:tcPr>
            <w:tcW w:w="1725" w:type="dxa"/>
            <w:vMerge w:val="continue"/>
            <w:vAlign w:val="center"/>
          </w:tcPr>
          <w:p>
            <w:pPr>
              <w:spacing w:after="156" w:afterLines="50" w:line="360" w:lineRule="auto"/>
              <w:jc w:val="center"/>
              <w:rPr>
                <w:rFonts w:hint="eastAsia" w:ascii="宋体" w:hAnsi="宋体" w:eastAsia="宋体" w:cs="宋体"/>
                <w:sz w:val="21"/>
                <w:szCs w:val="21"/>
                <w:vertAlign w:val="baseline"/>
                <w:lang w:eastAsia="zh-CN"/>
              </w:rPr>
            </w:pPr>
          </w:p>
        </w:tc>
      </w:tr>
      <w:tr>
        <w:tblPrEx>
          <w:tblLayout w:type="fixed"/>
          <w:tblCellMar>
            <w:top w:w="0" w:type="dxa"/>
            <w:left w:w="108" w:type="dxa"/>
            <w:bottom w:w="0" w:type="dxa"/>
            <w:right w:w="108" w:type="dxa"/>
          </w:tblCellMar>
        </w:tblPrEx>
        <w:trPr>
          <w:trHeight w:val="2426" w:hRule="exact"/>
        </w:trPr>
        <w:tc>
          <w:tcPr>
            <w:tcW w:w="717" w:type="dxa"/>
            <w:vMerge w:val="restart"/>
            <w:vAlign w:val="center"/>
          </w:tcPr>
          <w:p>
            <w:pPr>
              <w:spacing w:after="156" w:afterLines="50" w:line="360" w:lineRule="auto"/>
              <w:jc w:val="center"/>
              <w:rPr>
                <w:rFonts w:hint="default" w:ascii="宋体" w:hAnsi="宋体" w:eastAsia="宋体" w:cs="宋体"/>
                <w:sz w:val="21"/>
                <w:szCs w:val="21"/>
                <w:vertAlign w:val="baseline"/>
                <w:lang w:val="en-US" w:eastAsia="zh-CN"/>
              </w:rPr>
            </w:pPr>
            <w:bookmarkStart w:id="9" w:name="_Toc14343073"/>
            <w:r>
              <w:rPr>
                <w:rFonts w:hint="eastAsia" w:ascii="宋体" w:hAnsi="宋体" w:eastAsia="宋体" w:cs="宋体"/>
                <w:sz w:val="21"/>
                <w:szCs w:val="21"/>
                <w:vertAlign w:val="baseline"/>
                <w:lang w:val="en-US" w:eastAsia="zh-CN"/>
              </w:rPr>
              <w:t>5</w:t>
            </w:r>
          </w:p>
        </w:tc>
        <w:tc>
          <w:tcPr>
            <w:tcW w:w="1286" w:type="dxa"/>
            <w:vMerge w:val="restart"/>
            <w:vAlign w:val="center"/>
          </w:tcPr>
          <w:p>
            <w:pPr>
              <w:spacing w:after="156" w:afterLines="50"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妇产科护士</w:t>
            </w:r>
          </w:p>
        </w:tc>
        <w:tc>
          <w:tcPr>
            <w:tcW w:w="2010"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妇产科诊疗操作的配合及护理</w:t>
            </w:r>
          </w:p>
        </w:tc>
        <w:tc>
          <w:tcPr>
            <w:tcW w:w="2325"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辨析妇产科各疾病的临床表现、妇产科常见急危重症的特点，熟练进行各项妇产科诊疗操作的配合及护理。</w:t>
            </w:r>
          </w:p>
          <w:p>
            <w:pPr>
              <w:spacing w:line="460" w:lineRule="exact"/>
              <w:jc w:val="center"/>
              <w:rPr>
                <w:rFonts w:hint="eastAsia" w:ascii="宋体" w:hAnsi="宋体" w:eastAsia="宋体" w:cs="Times New Roman"/>
                <w:color w:val="000000"/>
                <w:szCs w:val="21"/>
                <w:lang w:val="en-US" w:eastAsia="zh-CN"/>
              </w:rPr>
            </w:pPr>
          </w:p>
        </w:tc>
        <w:tc>
          <w:tcPr>
            <w:tcW w:w="1725" w:type="dxa"/>
            <w:vMerge w:val="restart"/>
            <w:vAlign w:val="center"/>
          </w:tcPr>
          <w:p>
            <w:pPr>
              <w:spacing w:line="46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《人体解剖与组织胚胎学》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《生理学》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《病理学》</w:t>
            </w:r>
          </w:p>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《健康评估》</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《药理学》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《护理学导论》《基础护理》</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《妇产科护理》</w:t>
            </w:r>
          </w:p>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《急危重症护理》</w:t>
            </w:r>
          </w:p>
          <w:p>
            <w:pPr>
              <w:spacing w:after="156" w:afterLines="50" w:line="360" w:lineRule="auto"/>
              <w:jc w:val="center"/>
              <w:rPr>
                <w:rFonts w:hint="eastAsia" w:ascii="宋体" w:hAnsi="宋体" w:eastAsia="宋体" w:cs="宋体"/>
                <w:sz w:val="21"/>
                <w:szCs w:val="21"/>
                <w:vertAlign w:val="baseline"/>
                <w:lang w:eastAsia="zh-CN"/>
              </w:rPr>
            </w:pPr>
          </w:p>
        </w:tc>
      </w:tr>
      <w:tr>
        <w:tblPrEx>
          <w:tblLayout w:type="fixed"/>
          <w:tblCellMar>
            <w:top w:w="0" w:type="dxa"/>
            <w:left w:w="108" w:type="dxa"/>
            <w:bottom w:w="0" w:type="dxa"/>
            <w:right w:w="108" w:type="dxa"/>
          </w:tblCellMar>
        </w:tblPrEx>
        <w:trPr>
          <w:trHeight w:val="2826" w:hRule="exact"/>
        </w:trPr>
        <w:tc>
          <w:tcPr>
            <w:tcW w:w="717" w:type="dxa"/>
            <w:vMerge w:val="continue"/>
            <w:vAlign w:val="center"/>
          </w:tcPr>
          <w:p>
            <w:pPr>
              <w:spacing w:after="156" w:afterLines="50" w:line="360" w:lineRule="auto"/>
              <w:jc w:val="center"/>
              <w:rPr>
                <w:rFonts w:hint="eastAsia" w:ascii="宋体" w:hAnsi="宋体" w:eastAsia="宋体" w:cs="宋体"/>
                <w:sz w:val="21"/>
                <w:szCs w:val="21"/>
                <w:vertAlign w:val="baseline"/>
                <w:lang w:val="en-US" w:eastAsia="zh-CN"/>
              </w:rPr>
            </w:pPr>
          </w:p>
        </w:tc>
        <w:tc>
          <w:tcPr>
            <w:tcW w:w="1286" w:type="dxa"/>
            <w:vMerge w:val="continue"/>
            <w:vAlign w:val="center"/>
          </w:tcPr>
          <w:p>
            <w:pPr>
              <w:spacing w:after="156" w:afterLines="50" w:line="360" w:lineRule="auto"/>
              <w:jc w:val="center"/>
              <w:rPr>
                <w:rFonts w:hint="eastAsia" w:ascii="宋体" w:hAnsi="宋体" w:eastAsia="宋体" w:cs="宋体"/>
                <w:sz w:val="21"/>
                <w:szCs w:val="21"/>
                <w:vertAlign w:val="baseline"/>
                <w:lang w:val="en-US" w:eastAsia="zh-CN"/>
              </w:rPr>
            </w:pPr>
          </w:p>
        </w:tc>
        <w:tc>
          <w:tcPr>
            <w:tcW w:w="2010"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2）抢救和护理急危重症患者</w:t>
            </w:r>
          </w:p>
        </w:tc>
        <w:tc>
          <w:tcPr>
            <w:tcW w:w="232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能综合运用基础知识、基本技能配合医生对妇产科急危重症患者进行抢救和护理。</w:t>
            </w:r>
          </w:p>
        </w:tc>
        <w:tc>
          <w:tcPr>
            <w:tcW w:w="1725" w:type="dxa"/>
            <w:vMerge w:val="continue"/>
            <w:vAlign w:val="center"/>
          </w:tcPr>
          <w:p>
            <w:pPr>
              <w:spacing w:after="156" w:afterLines="50" w:line="360" w:lineRule="auto"/>
              <w:jc w:val="center"/>
              <w:rPr>
                <w:rFonts w:hint="eastAsia" w:ascii="宋体" w:hAnsi="宋体" w:eastAsia="宋体" w:cs="宋体"/>
                <w:sz w:val="21"/>
                <w:szCs w:val="21"/>
                <w:vertAlign w:val="baseline"/>
                <w:lang w:eastAsia="zh-CN"/>
              </w:rPr>
            </w:pPr>
          </w:p>
        </w:tc>
      </w:tr>
      <w:tr>
        <w:tblPrEx>
          <w:tblLayout w:type="fixed"/>
          <w:tblCellMar>
            <w:top w:w="0" w:type="dxa"/>
            <w:left w:w="108" w:type="dxa"/>
            <w:bottom w:w="0" w:type="dxa"/>
            <w:right w:w="108" w:type="dxa"/>
          </w:tblCellMar>
        </w:tblPrEx>
        <w:trPr>
          <w:trHeight w:val="2038" w:hRule="exact"/>
        </w:trPr>
        <w:tc>
          <w:tcPr>
            <w:tcW w:w="717" w:type="dxa"/>
            <w:vMerge w:val="continue"/>
            <w:vAlign w:val="center"/>
          </w:tcPr>
          <w:p>
            <w:pPr>
              <w:spacing w:after="156" w:afterLines="50" w:line="360" w:lineRule="auto"/>
              <w:jc w:val="center"/>
              <w:rPr>
                <w:rFonts w:hint="eastAsia" w:ascii="宋体" w:hAnsi="宋体" w:eastAsia="宋体" w:cs="宋体"/>
                <w:sz w:val="21"/>
                <w:szCs w:val="21"/>
                <w:vertAlign w:val="baseline"/>
                <w:lang w:val="en-US" w:eastAsia="zh-CN"/>
              </w:rPr>
            </w:pPr>
          </w:p>
        </w:tc>
        <w:tc>
          <w:tcPr>
            <w:tcW w:w="1286" w:type="dxa"/>
            <w:vMerge w:val="continue"/>
            <w:vAlign w:val="center"/>
          </w:tcPr>
          <w:p>
            <w:pPr>
              <w:spacing w:after="156" w:afterLines="50" w:line="360" w:lineRule="auto"/>
              <w:jc w:val="center"/>
              <w:rPr>
                <w:rFonts w:hint="eastAsia" w:ascii="宋体" w:hAnsi="宋体" w:eastAsia="宋体" w:cs="宋体"/>
                <w:sz w:val="21"/>
                <w:szCs w:val="21"/>
                <w:vertAlign w:val="baseline"/>
                <w:lang w:val="en-US" w:eastAsia="zh-CN"/>
              </w:rPr>
            </w:pPr>
          </w:p>
        </w:tc>
        <w:tc>
          <w:tcPr>
            <w:tcW w:w="2010"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3）对患者进行健康指导</w:t>
            </w:r>
          </w:p>
        </w:tc>
        <w:tc>
          <w:tcPr>
            <w:tcW w:w="232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能对外科多发病、常见病患者进行健康指导，养成 “重预防”的健康理念。</w:t>
            </w:r>
          </w:p>
          <w:p>
            <w:pPr>
              <w:spacing w:line="460" w:lineRule="exact"/>
              <w:jc w:val="center"/>
              <w:rPr>
                <w:rFonts w:hint="eastAsia" w:ascii="宋体" w:hAnsi="宋体" w:eastAsia="宋体" w:cs="Times New Roman"/>
                <w:color w:val="000000"/>
                <w:szCs w:val="21"/>
                <w:lang w:val="en-US" w:eastAsia="zh-CN"/>
              </w:rPr>
            </w:pPr>
          </w:p>
        </w:tc>
        <w:tc>
          <w:tcPr>
            <w:tcW w:w="1725" w:type="dxa"/>
            <w:vMerge w:val="continue"/>
            <w:vAlign w:val="center"/>
          </w:tcPr>
          <w:p>
            <w:pPr>
              <w:spacing w:after="156" w:afterLines="50" w:line="360" w:lineRule="auto"/>
              <w:jc w:val="center"/>
              <w:rPr>
                <w:rFonts w:hint="eastAsia" w:ascii="宋体" w:hAnsi="宋体" w:eastAsia="宋体" w:cs="宋体"/>
                <w:sz w:val="21"/>
                <w:szCs w:val="21"/>
                <w:vertAlign w:val="baseline"/>
                <w:lang w:eastAsia="zh-CN"/>
              </w:rPr>
            </w:pPr>
          </w:p>
        </w:tc>
      </w:tr>
      <w:tr>
        <w:tblPrEx>
          <w:tblLayout w:type="fixed"/>
          <w:tblCellMar>
            <w:top w:w="0" w:type="dxa"/>
            <w:left w:w="108" w:type="dxa"/>
            <w:bottom w:w="0" w:type="dxa"/>
            <w:right w:w="108" w:type="dxa"/>
          </w:tblCellMar>
        </w:tblPrEx>
        <w:trPr>
          <w:trHeight w:val="2330" w:hRule="exact"/>
        </w:trPr>
        <w:tc>
          <w:tcPr>
            <w:tcW w:w="717" w:type="dxa"/>
            <w:vMerge w:val="restart"/>
            <w:vAlign w:val="center"/>
          </w:tcPr>
          <w:p>
            <w:pPr>
              <w:spacing w:after="156" w:afterLines="50"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286" w:type="dxa"/>
            <w:vMerge w:val="restart"/>
            <w:vAlign w:val="center"/>
          </w:tcPr>
          <w:p>
            <w:pPr>
              <w:spacing w:after="156" w:afterLines="50"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社区护士</w:t>
            </w:r>
          </w:p>
        </w:tc>
        <w:tc>
          <w:tcPr>
            <w:tcW w:w="2010" w:type="dxa"/>
            <w:vAlign w:val="center"/>
          </w:tcPr>
          <w:p>
            <w:pPr>
              <w:spacing w:line="460" w:lineRule="exact"/>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抢救和护理急危重症患者</w:t>
            </w:r>
          </w:p>
        </w:tc>
        <w:tc>
          <w:tcPr>
            <w:tcW w:w="2325"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能综合运用基础知识、基本技能配合医生对社区急危重症患者进行抢救和护理。</w:t>
            </w:r>
          </w:p>
          <w:p>
            <w:pPr>
              <w:spacing w:line="460" w:lineRule="exact"/>
              <w:jc w:val="center"/>
              <w:rPr>
                <w:rFonts w:hint="eastAsia" w:ascii="宋体" w:hAnsi="宋体" w:eastAsia="宋体" w:cs="Times New Roman"/>
                <w:color w:val="000000"/>
                <w:szCs w:val="21"/>
                <w:lang w:val="en-US" w:eastAsia="zh-CN"/>
              </w:rPr>
            </w:pPr>
          </w:p>
        </w:tc>
        <w:tc>
          <w:tcPr>
            <w:tcW w:w="1725" w:type="dxa"/>
            <w:vMerge w:val="restart"/>
            <w:vAlign w:val="center"/>
          </w:tcPr>
          <w:p>
            <w:pPr>
              <w:spacing w:line="46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《人体解剖与组织胚胎学》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《生理学》</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《病理学》</w:t>
            </w:r>
          </w:p>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《健康评估》</w:t>
            </w:r>
          </w:p>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《药理学》</w:t>
            </w:r>
          </w:p>
          <w:p>
            <w:pPr>
              <w:spacing w:after="156" w:afterLines="50" w:line="360" w:lineRule="auto"/>
              <w:jc w:val="center"/>
              <w:rPr>
                <w:rFonts w:hint="default" w:ascii="宋体" w:hAnsi="宋体" w:eastAsia="宋体" w:cs="宋体"/>
                <w:sz w:val="21"/>
                <w:szCs w:val="21"/>
                <w:vertAlign w:val="baseline"/>
                <w:lang w:val="en-US" w:eastAsia="zh-CN"/>
              </w:rPr>
            </w:pPr>
            <w:r>
              <w:rPr>
                <w:rFonts w:hint="eastAsia" w:ascii="宋体" w:hAnsi="宋体" w:eastAsia="宋体" w:cs="Times New Roman"/>
                <w:color w:val="000000"/>
                <w:szCs w:val="21"/>
                <w:lang w:val="en-US" w:eastAsia="zh-CN"/>
              </w:rPr>
              <w:t>《护理学导论》《护理学基础》《社区护理》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8" w:hRule="exact"/>
        </w:trPr>
        <w:tc>
          <w:tcPr>
            <w:tcW w:w="717" w:type="dxa"/>
            <w:vMerge w:val="continue"/>
            <w:vAlign w:val="center"/>
          </w:tcPr>
          <w:p>
            <w:pPr>
              <w:spacing w:after="156" w:afterLines="50" w:line="360" w:lineRule="auto"/>
              <w:jc w:val="center"/>
              <w:rPr>
                <w:rFonts w:hint="eastAsia" w:ascii="宋体" w:hAnsi="宋体" w:eastAsia="宋体" w:cs="宋体"/>
                <w:sz w:val="21"/>
                <w:szCs w:val="21"/>
                <w:vertAlign w:val="baseline"/>
                <w:lang w:val="en-US" w:eastAsia="zh-CN"/>
              </w:rPr>
            </w:pPr>
          </w:p>
        </w:tc>
        <w:tc>
          <w:tcPr>
            <w:tcW w:w="1286" w:type="dxa"/>
            <w:vMerge w:val="continue"/>
            <w:vAlign w:val="center"/>
          </w:tcPr>
          <w:p>
            <w:pPr>
              <w:spacing w:after="156" w:afterLines="50" w:line="360" w:lineRule="auto"/>
              <w:jc w:val="center"/>
              <w:rPr>
                <w:rFonts w:hint="eastAsia" w:ascii="宋体" w:hAnsi="宋体" w:eastAsia="宋体" w:cs="宋体"/>
                <w:sz w:val="21"/>
                <w:szCs w:val="21"/>
                <w:vertAlign w:val="baseline"/>
                <w:lang w:val="en-US" w:eastAsia="zh-CN"/>
              </w:rPr>
            </w:pPr>
          </w:p>
        </w:tc>
        <w:tc>
          <w:tcPr>
            <w:tcW w:w="2010" w:type="dxa"/>
            <w:vAlign w:val="center"/>
          </w:tcPr>
          <w:p>
            <w:pPr>
              <w:spacing w:line="460" w:lineRule="exact"/>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3）对患者进行健康指导</w:t>
            </w:r>
          </w:p>
        </w:tc>
        <w:tc>
          <w:tcPr>
            <w:tcW w:w="232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能对社区多发病、常见病患者进行健康指导，养成 “重预防”的健康理念。</w:t>
            </w:r>
          </w:p>
          <w:p>
            <w:pPr>
              <w:spacing w:line="460" w:lineRule="exact"/>
              <w:jc w:val="center"/>
              <w:rPr>
                <w:rFonts w:hint="eastAsia" w:ascii="宋体" w:hAnsi="宋体" w:eastAsia="宋体" w:cs="Times New Roman"/>
                <w:color w:val="000000"/>
                <w:szCs w:val="21"/>
                <w:lang w:val="en-US" w:eastAsia="zh-CN"/>
              </w:rPr>
            </w:pPr>
          </w:p>
        </w:tc>
        <w:tc>
          <w:tcPr>
            <w:tcW w:w="1725" w:type="dxa"/>
            <w:vMerge w:val="continue"/>
            <w:vAlign w:val="center"/>
          </w:tcPr>
          <w:p>
            <w:pPr>
              <w:spacing w:after="156" w:afterLines="50" w:line="360" w:lineRule="auto"/>
              <w:jc w:val="center"/>
              <w:rPr>
                <w:rFonts w:hint="eastAsia" w:ascii="宋体" w:hAnsi="宋体" w:eastAsia="宋体" w:cs="宋体"/>
                <w:sz w:val="21"/>
                <w:szCs w:val="21"/>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theme="majorBidi"/>
          <w:b/>
          <w:bCs/>
          <w:kern w:val="2"/>
          <w:sz w:val="32"/>
          <w:szCs w:val="36"/>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主要职业资格证书或技能等级证书</w:t>
      </w:r>
    </w:p>
    <w:tbl>
      <w:tblPr>
        <w:tblStyle w:val="15"/>
        <w:tblpPr w:leftFromText="180" w:rightFromText="180" w:vertAnchor="text" w:horzAnchor="page" w:tblpX="1934" w:tblpY="290"/>
        <w:tblOverlap w:val="never"/>
        <w:tblW w:w="7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2287"/>
        <w:gridCol w:w="1891"/>
        <w:gridCol w:w="1366"/>
        <w:gridCol w:w="1025"/>
      </w:tblGrid>
      <w:tr>
        <w:tblPrEx>
          <w:tblLayout w:type="fixed"/>
          <w:tblCellMar>
            <w:top w:w="0" w:type="dxa"/>
            <w:left w:w="108" w:type="dxa"/>
            <w:bottom w:w="0" w:type="dxa"/>
            <w:right w:w="108" w:type="dxa"/>
          </w:tblCellMar>
        </w:tblPrEx>
        <w:trPr>
          <w:trHeight w:val="746" w:hRule="exact"/>
          <w:tblHeader/>
        </w:trPr>
        <w:tc>
          <w:tcPr>
            <w:tcW w:w="13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证书类型</w:t>
            </w:r>
          </w:p>
        </w:tc>
        <w:tc>
          <w:tcPr>
            <w:tcW w:w="22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证书名称</w:t>
            </w:r>
          </w:p>
        </w:tc>
        <w:tc>
          <w:tcPr>
            <w:tcW w:w="18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颁证机构</w:t>
            </w:r>
          </w:p>
        </w:tc>
        <w:tc>
          <w:tcPr>
            <w:tcW w:w="13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主要支撑课程</w:t>
            </w:r>
          </w:p>
        </w:tc>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建议获取时间</w:t>
            </w:r>
          </w:p>
        </w:tc>
      </w:tr>
      <w:tr>
        <w:tblPrEx>
          <w:tblLayout w:type="fixed"/>
          <w:tblCellMar>
            <w:top w:w="0" w:type="dxa"/>
            <w:left w:w="108" w:type="dxa"/>
            <w:bottom w:w="0" w:type="dxa"/>
            <w:right w:w="108" w:type="dxa"/>
          </w:tblCellMar>
        </w:tblPrEx>
        <w:trPr>
          <w:trHeight w:val="1561" w:hRule="exact"/>
        </w:trPr>
        <w:tc>
          <w:tcPr>
            <w:tcW w:w="1357" w:type="dxa"/>
            <w:vMerge w:val="restart"/>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职业技能等级</w:t>
            </w:r>
          </w:p>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或职业资格类</w:t>
            </w:r>
          </w:p>
        </w:tc>
        <w:tc>
          <w:tcPr>
            <w:tcW w:w="2287"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全国护士执业资格证</w:t>
            </w:r>
          </w:p>
        </w:tc>
        <w:tc>
          <w:tcPr>
            <w:tcW w:w="1891"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国家卫生部护士资格鉴定中心</w:t>
            </w:r>
          </w:p>
        </w:tc>
        <w:tc>
          <w:tcPr>
            <w:tcW w:w="1366"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内科护理</w:t>
            </w:r>
          </w:p>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外科护理</w:t>
            </w:r>
          </w:p>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基础护理</w:t>
            </w:r>
          </w:p>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妇产科护理</w:t>
            </w:r>
          </w:p>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儿科护理</w:t>
            </w:r>
          </w:p>
        </w:tc>
        <w:tc>
          <w:tcPr>
            <w:tcW w:w="1025" w:type="dxa"/>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第6学期</w:t>
            </w:r>
          </w:p>
        </w:tc>
      </w:tr>
      <w:tr>
        <w:tblPrEx>
          <w:tblLayout w:type="fixed"/>
          <w:tblCellMar>
            <w:top w:w="0" w:type="dxa"/>
            <w:left w:w="108" w:type="dxa"/>
            <w:bottom w:w="0" w:type="dxa"/>
            <w:right w:w="108" w:type="dxa"/>
          </w:tblCellMar>
        </w:tblPrEx>
        <w:trPr>
          <w:trHeight w:val="851" w:hRule="exact"/>
        </w:trPr>
        <w:tc>
          <w:tcPr>
            <w:tcW w:w="1357" w:type="dxa"/>
            <w:vMerge w:val="continue"/>
            <w:vAlign w:val="center"/>
          </w:tcPr>
          <w:p>
            <w:pPr>
              <w:widowControl/>
              <w:jc w:val="center"/>
              <w:rPr>
                <w:rFonts w:hint="eastAsia" w:ascii="宋体" w:hAnsi="宋体" w:eastAsia="宋体" w:cs="宋体"/>
                <w:kern w:val="0"/>
                <w:sz w:val="18"/>
                <w:szCs w:val="18"/>
                <w:lang w:val="en-US" w:eastAsia="zh-CN"/>
              </w:rPr>
            </w:pPr>
          </w:p>
        </w:tc>
        <w:tc>
          <w:tcPr>
            <w:tcW w:w="2287"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幼儿照护</w:t>
            </w:r>
          </w:p>
        </w:tc>
        <w:tc>
          <w:tcPr>
            <w:tcW w:w="1891"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湖南金职伟业母婴护理有限公司</w:t>
            </w:r>
          </w:p>
        </w:tc>
        <w:tc>
          <w:tcPr>
            <w:tcW w:w="1366" w:type="dxa"/>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儿科护理</w:t>
            </w:r>
          </w:p>
        </w:tc>
        <w:tc>
          <w:tcPr>
            <w:tcW w:w="1025"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第4学期</w:t>
            </w:r>
          </w:p>
        </w:tc>
      </w:tr>
      <w:tr>
        <w:tblPrEx>
          <w:tblLayout w:type="fixed"/>
          <w:tblCellMar>
            <w:top w:w="0" w:type="dxa"/>
            <w:left w:w="108" w:type="dxa"/>
            <w:bottom w:w="0" w:type="dxa"/>
            <w:right w:w="108" w:type="dxa"/>
          </w:tblCellMar>
        </w:tblPrEx>
        <w:trPr>
          <w:trHeight w:val="851" w:hRule="exact"/>
        </w:trPr>
        <w:tc>
          <w:tcPr>
            <w:tcW w:w="1357" w:type="dxa"/>
            <w:vMerge w:val="continue"/>
            <w:vAlign w:val="center"/>
          </w:tcPr>
          <w:p>
            <w:pPr>
              <w:widowControl/>
              <w:jc w:val="center"/>
              <w:rPr>
                <w:rFonts w:hint="eastAsia" w:ascii="宋体" w:hAnsi="宋体" w:eastAsia="宋体" w:cs="宋体"/>
                <w:kern w:val="0"/>
                <w:sz w:val="18"/>
                <w:szCs w:val="18"/>
                <w:lang w:val="en-US" w:eastAsia="zh-CN"/>
              </w:rPr>
            </w:pPr>
          </w:p>
        </w:tc>
        <w:tc>
          <w:tcPr>
            <w:tcW w:w="2287"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老年照护</w:t>
            </w:r>
          </w:p>
        </w:tc>
        <w:tc>
          <w:tcPr>
            <w:tcW w:w="1891"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北京中福长者文化科技有限公司</w:t>
            </w:r>
          </w:p>
        </w:tc>
        <w:tc>
          <w:tcPr>
            <w:tcW w:w="1366" w:type="dxa"/>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老年护理</w:t>
            </w:r>
          </w:p>
        </w:tc>
        <w:tc>
          <w:tcPr>
            <w:tcW w:w="1025"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第4学期</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157" w:firstLineChars="49"/>
        <w:textAlignment w:val="auto"/>
        <w:rPr>
          <w:rFonts w:hint="eastAsia" w:ascii="黑体" w:hAnsi="黑体" w:eastAsia="黑体" w:cs="黑体"/>
          <w:color w:val="000000"/>
          <w:sz w:val="28"/>
          <w:szCs w:val="28"/>
        </w:rPr>
      </w:pPr>
      <w:r>
        <w:rPr>
          <w:rFonts w:hint="eastAsia" w:ascii="黑体" w:hAnsi="黑体" w:eastAsia="黑体" w:cstheme="majorBidi"/>
          <w:b/>
          <w:bCs/>
          <w:kern w:val="2"/>
          <w:sz w:val="32"/>
          <w:szCs w:val="36"/>
          <w:lang w:val="en-US" w:eastAsia="zh-CN" w:bidi="ar-SA"/>
        </w:rPr>
        <w:t>六、课程设置及要求</w:t>
      </w:r>
      <w:bookmarkEnd w:id="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（一）课程设置</w:t>
      </w:r>
    </w:p>
    <w:p>
      <w:pPr>
        <w:keepNext w:val="0"/>
        <w:keepLines w:val="0"/>
        <w:pageBreakBefore w:val="0"/>
        <w:widowControl w:val="0"/>
        <w:kinsoku/>
        <w:wordWrap/>
        <w:overflowPunct/>
        <w:topLinePunct w:val="0"/>
        <w:autoSpaceDE/>
        <w:autoSpaceDN/>
        <w:bidi w:val="0"/>
        <w:adjustRightInd/>
        <w:snapToGrid/>
        <w:spacing w:line="360" w:lineRule="auto"/>
        <w:ind w:firstLine="556"/>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1.课程结构</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专业为单位，构建人才培养方案课程体系。专业基础课有人体解剖与组织胚胎学、生理学、病理学、药理学、生物化学、护理学导论、病原生物与免疫学。专业核心课有基础护理、内科护理、外科护理、妇产科护理、儿科护理、健康评估、急危重症护理等。专业拓展课有社区护理、中医护理技术、传染病护理、精神科护理、老年护理等。实践性教学环节有岗位实习和综合护理技能实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56"/>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课程地图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eastAsiaTheme="minorEastAsia"/>
          <w:lang w:eastAsia="zh-CN"/>
        </w:rPr>
      </w:pPr>
      <w:r>
        <w:rPr>
          <w:rFonts w:hint="eastAsia" w:eastAsiaTheme="minorEastAsia"/>
          <w:lang w:eastAsia="zh-CN"/>
        </w:rPr>
        <w:drawing>
          <wp:inline distT="0" distB="0" distL="114300" distR="114300">
            <wp:extent cx="5581015" cy="7666355"/>
            <wp:effectExtent l="0" t="0" r="12065" b="14605"/>
            <wp:docPr id="2" name="图片 2" descr="19AEE8129A0BE69319F6AFE4330F2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9AEE8129A0BE69319F6AFE4330F24E0"/>
                    <pic:cNvPicPr>
                      <a:picLocks noChangeAspect="1"/>
                    </pic:cNvPicPr>
                  </pic:nvPicPr>
                  <pic:blipFill>
                    <a:blip r:embed="rId7"/>
                    <a:srcRect l="5832" t="4777" r="2276"/>
                    <a:stretch>
                      <a:fillRect/>
                    </a:stretch>
                  </pic:blipFill>
                  <pic:spPr>
                    <a:xfrm>
                      <a:off x="0" y="0"/>
                      <a:ext cx="5581015" cy="7666355"/>
                    </a:xfrm>
                    <a:prstGeom prst="rect">
                      <a:avLst/>
                    </a:prstGeom>
                  </pic:spPr>
                </pic:pic>
              </a:graphicData>
            </a:graphic>
          </wp:inline>
        </w:drawing>
      </w:r>
    </w:p>
    <w:p>
      <w:pPr>
        <w:spacing w:line="460" w:lineRule="exact"/>
        <w:jc w:val="center"/>
        <w:rPr>
          <w:rFonts w:hint="eastAsia" w:ascii="仿宋_GB2312" w:hAnsi="仿宋_GB2312" w:eastAsia="仿宋_GB2312" w:cs="仿宋_GB2312"/>
          <w:sz w:val="28"/>
          <w:szCs w:val="28"/>
          <w:lang w:val="en-US" w:eastAsia="zh-CN"/>
        </w:rPr>
      </w:pPr>
      <w:r>
        <w:rPr>
          <w:rFonts w:hint="eastAsia" w:ascii="宋体" w:hAnsi="宋体" w:eastAsia="宋体" w:cs="Times New Roman"/>
          <w:color w:val="000000"/>
          <w:szCs w:val="21"/>
          <w:lang w:val="en-US" w:eastAsia="zh-CN"/>
        </w:rPr>
        <w:t>图1 护理专业课程地图</w:t>
      </w:r>
      <w:bookmarkStart w:id="10" w:name="_Toc14343074"/>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专业核心课程</w:t>
      </w:r>
    </w:p>
    <w:tbl>
      <w:tblPr>
        <w:tblStyle w:val="16"/>
        <w:tblpPr w:leftFromText="180" w:rightFromText="180" w:vertAnchor="text" w:horzAnchor="page" w:tblpX="1832" w:tblpY="2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915"/>
        <w:gridCol w:w="5468"/>
      </w:tblGrid>
      <w:tr>
        <w:tblPrEx>
          <w:tblLayout w:type="fixed"/>
          <w:tblCellMar>
            <w:top w:w="0" w:type="dxa"/>
            <w:left w:w="108" w:type="dxa"/>
            <w:bottom w:w="0" w:type="dxa"/>
            <w:right w:w="108" w:type="dxa"/>
          </w:tblCellMar>
        </w:tblPrEx>
        <w:tc>
          <w:tcPr>
            <w:tcW w:w="957" w:type="dxa"/>
            <w:vAlign w:val="center"/>
          </w:tcPr>
          <w:p>
            <w:pPr>
              <w:spacing w:line="460" w:lineRule="exact"/>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rPr>
              <w:t>序号</w:t>
            </w:r>
          </w:p>
        </w:tc>
        <w:tc>
          <w:tcPr>
            <w:tcW w:w="1915" w:type="dxa"/>
            <w:vAlign w:val="center"/>
          </w:tcPr>
          <w:p>
            <w:pPr>
              <w:spacing w:line="460" w:lineRule="exact"/>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rPr>
              <w:t>专业核心课程名称</w:t>
            </w:r>
          </w:p>
        </w:tc>
        <w:tc>
          <w:tcPr>
            <w:tcW w:w="5468" w:type="dxa"/>
            <w:vAlign w:val="center"/>
          </w:tcPr>
          <w:p>
            <w:pPr>
              <w:spacing w:line="460" w:lineRule="exact"/>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rPr>
              <w:t>主要教学内容</w:t>
            </w:r>
          </w:p>
        </w:tc>
      </w:tr>
      <w:tr>
        <w:tblPrEx>
          <w:tblLayout w:type="fixed"/>
          <w:tblCellMar>
            <w:top w:w="0" w:type="dxa"/>
            <w:left w:w="108" w:type="dxa"/>
            <w:bottom w:w="0" w:type="dxa"/>
            <w:right w:w="108" w:type="dxa"/>
          </w:tblCellMar>
        </w:tblPrEx>
        <w:trPr>
          <w:trHeight w:val="90" w:hRule="atLeast"/>
        </w:trPr>
        <w:tc>
          <w:tcPr>
            <w:tcW w:w="957"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1</w:t>
            </w:r>
          </w:p>
        </w:tc>
        <w:tc>
          <w:tcPr>
            <w:tcW w:w="191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内科护理</w:t>
            </w:r>
          </w:p>
        </w:tc>
        <w:tc>
          <w:tcPr>
            <w:tcW w:w="5468" w:type="dxa"/>
            <w:vAlign w:val="center"/>
          </w:tcPr>
          <w:p>
            <w:pPr>
              <w:spacing w:line="46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研究内科病人生物、心理和社会等方面的特点，运用护理程序实施整体护理以预防疾病，促进健康和保持健康。本课程内容包括内科护理学总论和各系统常见内科疾病病人的护理。</w:t>
            </w:r>
          </w:p>
        </w:tc>
      </w:tr>
      <w:tr>
        <w:tblPrEx>
          <w:tblLayout w:type="fixed"/>
          <w:tblCellMar>
            <w:top w:w="0" w:type="dxa"/>
            <w:left w:w="108" w:type="dxa"/>
            <w:bottom w:w="0" w:type="dxa"/>
            <w:right w:w="108" w:type="dxa"/>
          </w:tblCellMar>
        </w:tblPrEx>
        <w:tc>
          <w:tcPr>
            <w:tcW w:w="957"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2</w:t>
            </w:r>
          </w:p>
        </w:tc>
        <w:tc>
          <w:tcPr>
            <w:tcW w:w="191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儿</w:t>
            </w:r>
            <w:r>
              <w:rPr>
                <w:rFonts w:hint="eastAsia" w:ascii="宋体" w:hAnsi="宋体" w:eastAsia="宋体" w:cs="Times New Roman"/>
                <w:color w:val="000000"/>
                <w:szCs w:val="21"/>
                <w:lang w:val="en-US" w:eastAsia="zh-CN"/>
              </w:rPr>
              <w:t>科</w:t>
            </w:r>
            <w:r>
              <w:rPr>
                <w:rFonts w:hint="eastAsia" w:ascii="宋体" w:hAnsi="宋体" w:eastAsia="宋体" w:cs="Times New Roman"/>
                <w:color w:val="000000"/>
                <w:szCs w:val="21"/>
              </w:rPr>
              <w:t>护理</w:t>
            </w:r>
          </w:p>
        </w:tc>
        <w:tc>
          <w:tcPr>
            <w:tcW w:w="5468" w:type="dxa"/>
            <w:vAlign w:val="center"/>
          </w:tcPr>
          <w:p>
            <w:pPr>
              <w:spacing w:line="46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儿童生长发育规律、儿童保健、疾病预防以及对新生儿和各系统疾病患儿进行整体护理。</w:t>
            </w:r>
          </w:p>
        </w:tc>
      </w:tr>
      <w:tr>
        <w:tblPrEx>
          <w:tblLayout w:type="fixed"/>
          <w:tblCellMar>
            <w:top w:w="0" w:type="dxa"/>
            <w:left w:w="108" w:type="dxa"/>
            <w:bottom w:w="0" w:type="dxa"/>
            <w:right w:w="108" w:type="dxa"/>
          </w:tblCellMar>
        </w:tblPrEx>
        <w:tc>
          <w:tcPr>
            <w:tcW w:w="957"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3</w:t>
            </w:r>
          </w:p>
        </w:tc>
        <w:tc>
          <w:tcPr>
            <w:tcW w:w="191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外科护理</w:t>
            </w:r>
          </w:p>
        </w:tc>
        <w:tc>
          <w:tcPr>
            <w:tcW w:w="5468" w:type="dxa"/>
            <w:vAlign w:val="center"/>
          </w:tcPr>
          <w:p>
            <w:pPr>
              <w:spacing w:line="46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内容包括外科护理学总论、各系统常见外科疾病病人的护理以及常用的外科护理操作技术。</w:t>
            </w:r>
          </w:p>
        </w:tc>
      </w:tr>
      <w:tr>
        <w:tblPrEx>
          <w:tblLayout w:type="fixed"/>
          <w:tblCellMar>
            <w:top w:w="0" w:type="dxa"/>
            <w:left w:w="108" w:type="dxa"/>
            <w:bottom w:w="0" w:type="dxa"/>
            <w:right w:w="108" w:type="dxa"/>
          </w:tblCellMar>
        </w:tblPrEx>
        <w:tc>
          <w:tcPr>
            <w:tcW w:w="957"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4</w:t>
            </w:r>
          </w:p>
        </w:tc>
        <w:tc>
          <w:tcPr>
            <w:tcW w:w="191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妇产科</w:t>
            </w:r>
            <w:r>
              <w:rPr>
                <w:rFonts w:hint="eastAsia" w:ascii="宋体" w:hAnsi="宋体" w:eastAsia="宋体" w:cs="Times New Roman"/>
                <w:color w:val="000000"/>
                <w:szCs w:val="21"/>
              </w:rPr>
              <w:t>护理</w:t>
            </w:r>
          </w:p>
        </w:tc>
        <w:tc>
          <w:tcPr>
            <w:tcW w:w="5468" w:type="dxa"/>
            <w:vAlign w:val="center"/>
          </w:tcPr>
          <w:p>
            <w:pPr>
              <w:spacing w:line="46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 xml:space="preserve">主要介绍妇女在妊娠、分娩和产后的正常、异常过程及其护理，胎儿、新生儿的生理及护理，女性生殖系统疾病的诊断、防治及护理，妇女保健和计划生育指导等。 </w:t>
            </w:r>
          </w:p>
        </w:tc>
      </w:tr>
      <w:tr>
        <w:tblPrEx>
          <w:tblLayout w:type="fixed"/>
          <w:tblCellMar>
            <w:top w:w="0" w:type="dxa"/>
            <w:left w:w="108" w:type="dxa"/>
            <w:bottom w:w="0" w:type="dxa"/>
            <w:right w:w="108" w:type="dxa"/>
          </w:tblCellMar>
        </w:tblPrEx>
        <w:tc>
          <w:tcPr>
            <w:tcW w:w="957"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5</w:t>
            </w:r>
          </w:p>
        </w:tc>
        <w:tc>
          <w:tcPr>
            <w:tcW w:w="191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健康评估</w:t>
            </w:r>
          </w:p>
        </w:tc>
        <w:tc>
          <w:tcPr>
            <w:tcW w:w="5468" w:type="dxa"/>
            <w:vAlign w:val="center"/>
          </w:tcPr>
          <w:p>
            <w:pPr>
              <w:spacing w:line="46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内容包括运用护理基本理论、基本技能和临床思维方法对个体、家庭、社区现存的或潜在的健康问题及健康状态反应进行判断，对护理对象的生理、心理及其社会适应等方面进行系统评估，以确定其现存的或潜在的健康状况及护理需要。</w:t>
            </w:r>
          </w:p>
        </w:tc>
      </w:tr>
      <w:tr>
        <w:tblPrEx>
          <w:tblLayout w:type="fixed"/>
          <w:tblCellMar>
            <w:top w:w="0" w:type="dxa"/>
            <w:left w:w="108" w:type="dxa"/>
            <w:bottom w:w="0" w:type="dxa"/>
            <w:right w:w="108" w:type="dxa"/>
          </w:tblCellMar>
        </w:tblPrEx>
        <w:tc>
          <w:tcPr>
            <w:tcW w:w="957"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6</w:t>
            </w:r>
          </w:p>
        </w:tc>
        <w:tc>
          <w:tcPr>
            <w:tcW w:w="191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基础</w:t>
            </w:r>
            <w:r>
              <w:rPr>
                <w:rFonts w:hint="eastAsia" w:ascii="宋体" w:hAnsi="宋体" w:eastAsia="宋体" w:cs="Times New Roman"/>
                <w:color w:val="000000"/>
                <w:szCs w:val="21"/>
                <w:lang w:val="en-US" w:eastAsia="zh-CN"/>
              </w:rPr>
              <w:t>护理</w:t>
            </w:r>
          </w:p>
        </w:tc>
        <w:tc>
          <w:tcPr>
            <w:tcW w:w="5468" w:type="dxa"/>
            <w:vAlign w:val="center"/>
          </w:tcPr>
          <w:p>
            <w:pPr>
              <w:spacing w:line="46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内容包括医院和住院环境、入院和出院护理、舒适与安全护理;医院感染的预防和控制、患者的清洁卫生、生命体征的观察与护理;饮食护理技术、排泄护理技术、给药技术、药物过敏试验技术、输血技术、冷热疗技术、危重患者的病情观察及抢救技术、临终患者的护理技术:病案管理与护理文件的书写。</w:t>
            </w:r>
          </w:p>
        </w:tc>
      </w:tr>
      <w:tr>
        <w:tblPrEx>
          <w:tblLayout w:type="fixed"/>
          <w:tblCellMar>
            <w:top w:w="0" w:type="dxa"/>
            <w:left w:w="108" w:type="dxa"/>
            <w:bottom w:w="0" w:type="dxa"/>
            <w:right w:w="108" w:type="dxa"/>
          </w:tblCellMar>
        </w:tblPrEx>
        <w:tc>
          <w:tcPr>
            <w:tcW w:w="957" w:type="dxa"/>
            <w:vAlign w:val="center"/>
          </w:tcPr>
          <w:p>
            <w:pPr>
              <w:spacing w:line="46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7</w:t>
            </w:r>
          </w:p>
        </w:tc>
        <w:tc>
          <w:tcPr>
            <w:tcW w:w="1915" w:type="dxa"/>
            <w:vAlign w:val="center"/>
          </w:tcPr>
          <w:p>
            <w:pPr>
              <w:spacing w:line="46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急危重症护理</w:t>
            </w:r>
          </w:p>
        </w:tc>
        <w:tc>
          <w:tcPr>
            <w:tcW w:w="5468" w:type="dxa"/>
            <w:vAlign w:val="center"/>
          </w:tcPr>
          <w:p>
            <w:pPr>
              <w:spacing w:line="46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院前急救概述，心搏骤停病人、气道异物梗阻病人、创伤病人、动物咬伤病人、环境及理化因素病人的院前急救，急诊科救护，ICU病人的监护，灾难救护等。</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（二）课程介绍</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1．健康评估</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课程目标：</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（1）学会从事护理实践必需的健康评估的基本理论、基本知识和基本技能。</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（2）具有科学的发现评估对象健康问题的逻辑思维能力。</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（3）学会运用整体评估观、评判性思维，评估护理对象的健康问题。</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（4）树立尊重、爱护患者的专业信念及养成积极的职业情感和良好的职业素质。</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主要内容：</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健康评估方法、常见症状评估、身体评估、心理及社会评估、心电图检查、影像学检查、常用实验室检查和护理病历书写。</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教学要求：</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（1）结合课程特点，把“爱岗敬业、救死扶伤的天使匠心”“敬畏生命、珍爱生命、严谨慎独的医学人文精神”的课程思政元素融入课程教学全过程。</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（2）医教融合共同编制课程标准，采用项目教学、情景模拟教学、案例教学、理实一体化等多种教学方法。</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（3）加强临床案例的收集与整理，积极吸纳前沿临床新技术。</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（4）注重课程网络学习平台的搭建，不断丰富课程教学资源。</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（5）强化过程性考核和增加人文素质等方面的考核比例。</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2.基础护理</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课程目标：</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（1）具备满足护理对象生理、心理、治疗及急救需求的基础护理相关理论、知识和技能，能熟练规范地运用基础护理各项技能满足患者身心需要。</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（2）获得初步病情观察的能力、与护理对象有效沟通的能力和灵活运用护理程序初步实施整体护理的能力。</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（3）理解护理新技术的理论基础和实际应用。</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（4）授课过程引导学生热爱护理专业，关爱生命，关注健康；培养学生的责任心、同情心、爱心和团队合作精神；深化严谨求实、一丝不苟，认真慎独的专业精神。</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主要内容：</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医院环境的要求、患者入院及出院护理、医院感染的预防与控制、生命体征的观察及护理、患者的清洁护理、舒适与安全的护理、饮食护理、排泄的观察及护理、冷热疗法、药物疗法及药物过敏试验法、静脉输液和输血、标本采集、病情观察及危重患者的抢救技术、临终护理、医疗与护理相关文件记录。</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（2）铺床技术、无菌技术、穿脱隔离衣、生命体征的测量、导尿术、灌肠术、各种注射、静脉输液、吸氧、吸痰等基础护理操作技能。</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（3）各项基础护理技术的临床新进展。</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教学要求：</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（1）结合课程特点，把“尊重生命，热爱岗位”的课程思政元素和“护爱生命、修身明理”的校训融入课程教学全过程。</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（2）医教融合共同编制课程标准，采用案例教学、理实一体、角色扮演等多种教学方式。</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（3）加强课程资源库的建设，自主开发微课和信息化资源，搜集临床案例丰富课堂教学。</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（4）建设课程网络学习平台，积极开展翻转课堂、线上线下混合式教学改革。</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（5）结合课程特点，理论和实践双考核，注重过程性考核和小组考核。</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3.妇产科护理</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课程目标：</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本课程的学习，学生能够系统掌握母婴护理必需的基本理论知识和基本技能，通过自主学习、合作交流、查阅文献养成主动学习及终生学习的习惯，在临床工作中能正确运用护理程序的科学方法管理孕产妇、胎儿及新生儿，在实践操作过程中养成严谨求实的科学态度，培养团结协作精神。</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主要内容：</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妇产科护理的概念及妇产科的发展历史；母婴护理学习方法；女性生殖系统与生理的基本知识；妊娠生理的基本知识；妊娠诊断方法；孕期监护的手段；正常分娩的基本知识；平产接生；新生儿处理；正常产褥的基本知识及健康教育；围生儿的护理；常见异常妊娠的基本知识、特殊检查配合及护理措施；妊娠合并症的护理；难产的识别及处理配合；异常产褥的护理；产科常用手术操作及手术配合。新生儿的护理，计划生育的相关内容。</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（2）临床常用新技术和新方法；妊娠分娩产褥过程中的护患沟通和人文关怀。</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教学要求：</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（1）结合课程特点，把“爱心、细心、耐心、责任心”的课程思政元素融入课程教学全过程，强调对生命的尊重。</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践行“三维融合、六位一体”医教融合人才培养模式：进一步贯彻“产教融合、校企合作、工学结合”的职业教育理念，专兼教师集体备课，共同完成临床案例的收集与整理，积极吸纳临床新理念、新技术，设计教学实施的具体环节，共同编制课程标准。</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施多样化的教学方法与手段：教学过程体现以学生为中心的理念，采取案例教学、情境教学、探究式教学、项目教学、任务驱动等教学方法，利用中国大学慕课、超星学习通等网络教学平台，实训中心的虚拟仿真系统、OSCE考站，结合高仿真模拟人等模型，虚实结合，增强现实，激发学生学习兴趣，培养学生自主学习、合作学习意识及能力。</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（4）结合课程实践教学特点，整合实践考核的内容，转变单个项目考核为模块化考核，适度增加实践考核比例，强化过程性考核。</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构建多元化的评价体系：评价方式上采用形成性评价与终结性评价相结合，强化过程性考核；评价主体上采用教师评价、学生自评、互评相结合的多元评价。评价内容注重职业道德、职业素养、可持续发展能力的综合评价，从而构建能全面反映学生学习过程与学习效果的评价体系。</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4.儿科护理</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课程目标：</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（1）掌握儿科护理基本理论、基本知识和基本技能，具备整体护理能力和现代护理理念。</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（2）辨析小儿常见病的发病机制、临床表现、护理问题及护理措施，熟练进行儿科各项治疗技术的操作。</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（3）能运用整体护理程序的方法，对儿童健康问题进行指导和健康教育。</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主要内容：</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（1）学会小儿生长发育及评价、小儿的营养与喂养、新生儿生活护理、新生儿疾病、儿科各系统疾病的护理评估及护理措施。</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（2）完成抚触、包裹法、暖箱和蓝光箱使用、小儿体格测量、配奶和喂奶法、头皮静脉穿刺、新生儿复苏等护理技能操作。</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教学要求：</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（1）结合课程特点，把围绕政治的爱心、忠心；文化的信心、关心；科学的精心、匠心；情感的仁爱心、责任心；创新的用心、留心等思政元素融入课程教学全过程。</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（2）医教融合共同编制课程标准，采用项目教学、案例教学等多种教学方法。</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（3）加强临床案例的收集与整理，积极吸纳临床新技术、新方法。</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（4）注重课程网络学习平台建设，不断丰富课程教学资源。</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（5）结合课程实践教学特点，适度增加实践考核比例，强化过程性考核。</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5.内科护理</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课程目标：</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（1）说出内科常见病、多发病的病因、诱因、发病机制和治疗原则，能制定疾病护理计划。</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（2）辨析内科各疾病的临床表现、内科常见急危重症的特点，熟练进行各项内科诊疗操作。</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（3）能综合运用基础知识、基本技能配合医生对内科急危重症患者进行抢救和护理。</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（4）能对内科多发病、常见病患者进行健康指导，养成 “重预防”的健康理念。</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主要内容：</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呼吸系统疾病病人的护理：包括急性呼吸道感染病人的护理、肺炎病人的护理、结核病病人的护理、支气管扩张病人的护理、慢性阻塞性肺疾病病人的护理、支气管哮喘病人的护理、慢性肺源性心脏病病人的护理、呼吸衰竭病人的护理等。</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循环系统疾病病人的护理：包括心功能不全病人的护理、心律失常病人的护理、高血压病人的护理、冠状动脉粥样硬化性心脏病病人的护理、心脏瓣膜病病人的护理、感染性心内膜炎病人的护理、心肌疾病病人的护理、心包疾病病人的护理等。</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消化系统疾病病人的护理：包括急慢性胃炎病人的护理、消化性溃疡病人的护理、溃疡性结肠炎病人的护理、肝硬化病人的护理、肝性脑病病人的护理、急性胰腺炎病人的护理、上消化道出血病人的护理、慢性便秘病人的护理等。</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（4）泌尿系统疾病病人的护理：包括肾小球肾炎病人的护理、肾病综合征病人的护理、慢性肾衰竭病人的护理、急性肾衰竭病人的护理等。</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血液系统疾病病人的护理：包括缺铁性贫血病人的护理、营养性巨幼细胞贫血病人的护理、再生障碍性贫血病人的护理、白血病病人的护理、血友病病人的护理、特发性血小板减少性紫癜病人的护理、过敏性紫癜病人的护理、弥散性血管内凝血病人的护理等。</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（6）内分泌系统疾病病人的护理：单纯性甲状腺肿病人的护理、甲状腺功能亢进症病人的护理、甲状腺功能减退症病人的护理、库欣综合征病人的护理、糖尿病病人的护理、痛风病人的护理等。</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（7）风湿系统疾病病人的护理：包括风湿热病人的护理、类风湿性关节炎病人的护理、系统性红斑狼疮病人的护理、骨质疏松病人的护理等。</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（8）神经系统疾病病人的护理：包括脑血管疾病病人的护理、三叉神经痛病人的护理、急性炎症性脱髓鞘性神经病病人的护理、帕金森病病人的护理、癫痫病人的护理等。</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教学要求：</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（1）结合课程特点，从国家层面、社会层面、校园层面、专业层面四个方面提炼思政元素，把“职业感恩心、生命悲悯心、技术匠心”的新时代“天使匠心”的课程思政元素融入课程教学全过程。</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（2）医教融合共同编制课程标准，采用项目教学、案例教学等多种教学方式。</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（3）加强临床案例的收集与整理，积极吸纳临床新技术。</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（4）注重课程网络学习平台建设，不断丰富课程教学资源，推进精品在线开放课程建设。</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（5）结合课程实践教学特点，适度增加实践考核比例，强化过程性考核。</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6.外科护理</w:t>
      </w:r>
      <w:bookmarkStart w:id="11" w:name="_Toc2627421"/>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课程目标</w:t>
      </w:r>
      <w:bookmarkEnd w:id="11"/>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全面系统的掌握外科护理学的基本理论、基本知识和基本技术，培养其综合运用理论分析、解决问题的能力及指导临床实践活动的能力，为以后的临床实习及将来从事外科护理工作奠定坚实的基础。</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主要内容：</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（1）外科学总论部分：水、电解质、酸碱平衡失调病人的护理、麻醉病人的护理、围手术期病人的护理、疼痛病人的护理、损伤病人的护理、营养支持病人的护理、外科感染病人的护理和肿瘤病人的护理等。</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（2）颅脑疾病病人的护理：颅内压增高病人的护理，颅脑损伤病人的护理。</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（3）颈部疾病病人的护理：甲状腺功能亢进外科治疗病人的护理，单纯性甲状腺肿病人的护理，甲状腺肿瘤病人的护理。</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（4）胸部疾病病人的护理：胸部损伤病人的护理，脓胸病人的护理，食管癌病人的护理，肺癌病人的护理，胸腔闭式引流病人的护理。</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胃肠疾病病人的护理：腹膜炎与腹部损伤病人的护理，胃肠减压病人的护理，腹外疝病人的护理，胃、十二指肠溃疡外科治疗病人的护理，胃癌病人的护理，肠梗阻病人的护理，阑尾炎病人的护理，大肠癌病人的护理，直肠、肛管良性疾病病人的护理等。</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（6）周围血管疾病病人的护理：单纯性下肢静脉曲张病人的护理，血栓闭塞性脉管炎病人的护理、深静脉血栓形成病人的护理。</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（7）泌尿外科病人的护理：泌尿外科常见症状护理，泌尿系统损伤病人的护理，泌尿系统结石病人的护理，泌尿系统结核病人的护理，泌尿系统肿瘤病人的护理，前列腺良性增生症病人的护理等。</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（8）运动系统疾病病人的护理：骨折病人的护理，关节脱位病人的护理，急性血源性骨髓炎病人的护理，骨关节感染病人的护理，腰腿痛病人的护理，骨肿瘤病人的护理等。</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教学要求：</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（1）应用多种教学方法进行课堂教学，针对不同的教学内容，密切联系护理岗位需求，灵活采用“PBL教学”、“护患角色扮演”、“案例教学”、“情景教学”等教学方法。</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（2）加强实践教学环节管理，提高学生的实践动手能力，做中学、学中做，促进学生理论联系实际，充分体现“以学生为主体”的教学理念。</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应用现代教学技术，充分利用实物、多媒体动画、图片、视频等多种教学资源，将教学中不易表达、不易理解、无法呈现的难点和重点形象生动的展示出来，提高课堂教学的直观性、趣味性，激发学生主动学习的兴趣，提高课堂教学效果。</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课程资源的开发与利用，完成配套电子教学资料，如图片库、课件、视频、电子题库、仿真软件等；开发网络资源，建立外科护理网络学习平台；编写或利用相关教辅材料、实训指导手册等；工学结合，建立及完善校内外实训基地。</w:t>
      </w:r>
      <w:bookmarkStart w:id="12" w:name="_Toc2627432"/>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强思想政治、职业道德教育，把徳技并修，培养职业道德高尚、技术技能合格的外科护理人才作为课程思政的总目标，以心护理论为切入点，立足于学院新时代天使匠心，总结凝练出十心作为外科护理课程的思政元素。分别是立足于职业原始感恩心的真心、细心、耐心。立足于生命原始悲悯心的爱心、热心、仁心、同情心。立足于精益求精技术匠心的精心、恒心、责任心。结合外科护理课程特点，将十大课程思政元素融入课程教学全过程。</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（6）考核评价</w:t>
      </w:r>
      <w:bookmarkEnd w:id="12"/>
      <w:r>
        <w:rPr>
          <w:rFonts w:hint="eastAsia" w:ascii="仿宋_GB2312" w:hAnsi="仿宋_GB2312" w:eastAsia="仿宋_GB2312" w:cs="仿宋_GB2312"/>
          <w:sz w:val="32"/>
          <w:szCs w:val="32"/>
          <w:lang w:val="en-US" w:eastAsia="zh-CN"/>
        </w:rPr>
        <w:t>，对知识、能力、素质三个方面进行综合评价，重视目标考核和过程考核，不断完善和改革考核评价方法，建立多元化的考核评价机制。坚持考试考核制度化、常规化管理，严格实行教考分离。改变以闭卷、笔试为主的考试方式和以分数为标准的评价方式，建立开卷闭卷相结合、笔试口试相结合、理论知识与实践操作相结合、平时考核与期末考试相结合、封闭式与开放式相结合的多元化的考试、考核办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7.急危重症护理</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课程目标:</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（1）能说出心搏骤停的诊断标准, 独立完成单人徒手心肺复苏的操作。</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（2）能辨析动物咬伤、淹溺、电击伤、中暑、有机磷农药中毒、一氧化碳中毒、乙醇中毒患者并能有效急救。</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（3）通过合作对伤员实施止血、包扎、固定、搬运等技术，能够关心、尊重和爱护病人，具有良好的团结协作、沟通交流和团队合作能力。</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（4）通过完成单人徒手心肺复苏术，体验胸外心脏按压、人工呼吸准确性对复苏效果的影响，培养时间意识、急救意识、质量意识。</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主要内容:</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院前急救概述，心搏骤停病人、气道异物梗阻病人、创伤病人、动物咬伤病人、环境及理化因素病人的院前急救，急诊科救护，ICU病人的监护，灾难救护等。</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教学要求:</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（1）结合课程特点，把“救死扶伤、无私奉献、不畏艰险、爱心、仁心、责任心”的课程思政元素融入课程教学全过程。</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（2）医教融合共同编制课程标准，采用情景教学、案例讨论和PBL教学、理实一体化教学等多种教学方式，运用实训中心仿真教学环境，优化教学过程。</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（3）结合急危重症护理课程的特点，加强临床案例的收集与整理，积极吸纳临床新技术。</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（4）注重课程网络学习平台建设，不断丰富课程教学资源。</w:t>
      </w:r>
    </w:p>
    <w:p>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（5）注重学生平时知识的积累和技能的培养，增加过程性评价权重。</w:t>
      </w:r>
    </w:p>
    <w:p>
      <w:pPr>
        <w:pStyle w:val="3"/>
        <w:numPr>
          <w:ilvl w:val="0"/>
          <w:numId w:val="3"/>
        </w:numPr>
        <w:spacing w:before="0" w:after="0" w:line="360" w:lineRule="auto"/>
        <w:ind w:firstLine="157" w:firstLineChars="49"/>
        <w:rPr>
          <w:rFonts w:hint="eastAsia" w:ascii="黑体" w:hAnsi="黑体" w:eastAsia="黑体"/>
          <w:sz w:val="32"/>
          <w:szCs w:val="36"/>
        </w:rPr>
      </w:pPr>
      <w:r>
        <w:rPr>
          <w:rFonts w:hint="eastAsia" w:ascii="黑体" w:hAnsi="黑体" w:eastAsia="黑体"/>
          <w:sz w:val="32"/>
          <w:szCs w:val="36"/>
        </w:rPr>
        <w:t>教学进程总体安排</w:t>
      </w:r>
      <w:bookmarkEnd w:id="10"/>
    </w:p>
    <w:p>
      <w:pPr>
        <w:keepNext w:val="0"/>
        <w:keepLines w:val="0"/>
        <w:pageBreakBefore w:val="0"/>
        <w:widowControl w:val="0"/>
        <w:kinsoku/>
        <w:wordWrap/>
        <w:overflowPunct/>
        <w:topLinePunct w:val="0"/>
        <w:autoSpaceDE/>
        <w:autoSpaceDN/>
        <w:bidi w:val="0"/>
        <w:adjustRightInd/>
        <w:snapToGrid/>
        <w:spacing w:after="156" w:afterLines="50" w:line="560" w:lineRule="exact"/>
        <w:ind w:firstLine="640" w:firstLineChars="200"/>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本专业总学分为164，总学时为2640学时。其中理论课   1318学时，占总学时的49.92%，实践课1322学时，占总学时的50.08%；选修课416学时，占总学时的15.76%。</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Cs/>
          <w:color w:val="000000"/>
          <w:kern w:val="0"/>
          <w:sz w:val="32"/>
          <w:szCs w:val="32"/>
        </w:rPr>
        <w:t>教学进程总体</w:t>
      </w:r>
      <w:r>
        <w:rPr>
          <w:rFonts w:hint="eastAsia" w:ascii="仿宋_GB2312" w:hAnsi="仿宋_GB2312" w:eastAsia="仿宋_GB2312" w:cs="仿宋_GB2312"/>
          <w:bCs/>
          <w:color w:val="000000"/>
          <w:kern w:val="0"/>
          <w:sz w:val="32"/>
          <w:szCs w:val="32"/>
          <w:lang w:eastAsia="zh-CN"/>
        </w:rPr>
        <w:t>安排</w:t>
      </w:r>
    </w:p>
    <w:tbl>
      <w:tblPr>
        <w:tblStyle w:val="15"/>
        <w:tblW w:w="862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99"/>
        <w:gridCol w:w="349"/>
        <w:gridCol w:w="272"/>
        <w:gridCol w:w="950"/>
        <w:gridCol w:w="1417"/>
        <w:gridCol w:w="709"/>
        <w:gridCol w:w="502"/>
        <w:gridCol w:w="382"/>
        <w:gridCol w:w="371"/>
        <w:gridCol w:w="513"/>
        <w:gridCol w:w="414"/>
        <w:gridCol w:w="327"/>
        <w:gridCol w:w="422"/>
        <w:gridCol w:w="338"/>
        <w:gridCol w:w="338"/>
        <w:gridCol w:w="350"/>
        <w:gridCol w:w="327"/>
        <w:gridCol w:w="349"/>
      </w:tblGrid>
      <w:tr>
        <w:tblPrEx>
          <w:tblLayout w:type="fixed"/>
          <w:tblCellMar>
            <w:top w:w="0" w:type="dxa"/>
            <w:left w:w="108" w:type="dxa"/>
            <w:bottom w:w="0" w:type="dxa"/>
            <w:right w:w="108" w:type="dxa"/>
          </w:tblCellMar>
        </w:tblPrEx>
        <w:trPr>
          <w:trHeight w:val="525" w:hRule="atLeast"/>
        </w:trPr>
        <w:tc>
          <w:tcPr>
            <w:tcW w:w="29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模块</w:t>
            </w:r>
          </w:p>
        </w:tc>
        <w:tc>
          <w:tcPr>
            <w:tcW w:w="34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课程类别</w:t>
            </w:r>
          </w:p>
        </w:tc>
        <w:tc>
          <w:tcPr>
            <w:tcW w:w="2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5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课程编码</w:t>
            </w:r>
          </w:p>
        </w:tc>
        <w:tc>
          <w:tcPr>
            <w:tcW w:w="1417"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课程名称</w:t>
            </w:r>
          </w:p>
        </w:tc>
        <w:tc>
          <w:tcPr>
            <w:tcW w:w="70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课程性质</w:t>
            </w:r>
          </w:p>
        </w:tc>
        <w:tc>
          <w:tcPr>
            <w:tcW w:w="88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考核方法</w:t>
            </w:r>
          </w:p>
        </w:tc>
        <w:tc>
          <w:tcPr>
            <w:tcW w:w="37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w:t>
            </w:r>
          </w:p>
        </w:tc>
        <w:tc>
          <w:tcPr>
            <w:tcW w:w="1254"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学时数分配</w:t>
            </w:r>
          </w:p>
        </w:tc>
        <w:tc>
          <w:tcPr>
            <w:tcW w:w="2124"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授课周学时</w:t>
            </w:r>
          </w:p>
        </w:tc>
      </w:tr>
      <w:tr>
        <w:tblPrEx>
          <w:tblLayout w:type="fixed"/>
          <w:tblCellMar>
            <w:top w:w="0" w:type="dxa"/>
            <w:left w:w="108" w:type="dxa"/>
            <w:bottom w:w="0" w:type="dxa"/>
            <w:right w:w="108" w:type="dxa"/>
          </w:tblCellMar>
        </w:tblPrEx>
        <w:trPr>
          <w:trHeight w:val="353" w:hRule="atLeast"/>
        </w:trPr>
        <w:tc>
          <w:tcPr>
            <w:tcW w:w="299"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49"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2"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50"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17"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09"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考试</w:t>
            </w:r>
          </w:p>
        </w:tc>
        <w:tc>
          <w:tcPr>
            <w:tcW w:w="38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考查</w:t>
            </w:r>
          </w:p>
        </w:tc>
        <w:tc>
          <w:tcPr>
            <w:tcW w:w="371"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1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共计</w:t>
            </w:r>
          </w:p>
        </w:tc>
        <w:tc>
          <w:tcPr>
            <w:tcW w:w="741"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r>
      <w:tr>
        <w:tblPrEx>
          <w:tblLayout w:type="fixed"/>
          <w:tblCellMar>
            <w:top w:w="0" w:type="dxa"/>
            <w:left w:w="108" w:type="dxa"/>
            <w:bottom w:w="0" w:type="dxa"/>
            <w:right w:w="108" w:type="dxa"/>
          </w:tblCellMar>
        </w:tblPrEx>
        <w:trPr>
          <w:trHeight w:val="1166" w:hRule="atLeast"/>
        </w:trPr>
        <w:tc>
          <w:tcPr>
            <w:tcW w:w="299"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49"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2"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50"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17"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09"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2"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2"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1"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13" w:type="dxa"/>
            <w:vMerge w:val="continue"/>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理论教学</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实</w:t>
            </w: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践</w:t>
            </w: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教</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r>
      <w:tr>
        <w:tblPrEx>
          <w:tblLayout w:type="fixed"/>
          <w:tblCellMar>
            <w:top w:w="0" w:type="dxa"/>
            <w:left w:w="108" w:type="dxa"/>
            <w:bottom w:w="0" w:type="dxa"/>
            <w:right w:w="108" w:type="dxa"/>
          </w:tblCellMar>
        </w:tblPrEx>
        <w:trPr>
          <w:trHeight w:val="270" w:hRule="atLeast"/>
        </w:trPr>
        <w:tc>
          <w:tcPr>
            <w:tcW w:w="29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公共平台课程</w:t>
            </w:r>
          </w:p>
        </w:tc>
        <w:tc>
          <w:tcPr>
            <w:tcW w:w="34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思政模块</w:t>
            </w: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GJ1A010</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思想道德与法治</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4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GJ1A012</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简明新疆地方史教程</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GJ1A011</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马克思主义基本原理</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GJ1A016</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毛泽东思想和中国特色社会主义理论体系概论</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GJ1A004</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习近平新时代中国特色社会主义思想概论</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XC1A007</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-XC1A010</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形势与政策</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29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639" w:type="dxa"/>
            <w:gridSpan w:val="3"/>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小计</w:t>
            </w:r>
          </w:p>
        </w:tc>
        <w:tc>
          <w:tcPr>
            <w:tcW w:w="70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8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71"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513"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224</w:t>
            </w:r>
          </w:p>
        </w:tc>
        <w:tc>
          <w:tcPr>
            <w:tcW w:w="414"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w:t>
            </w:r>
          </w:p>
        </w:tc>
        <w:tc>
          <w:tcPr>
            <w:tcW w:w="42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4.5</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350"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4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restart"/>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安全教育</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1334"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XS2A005</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-XS2A008</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德育教育/法律教育/团课团日活动/防毒品教育/民族团结教育/环保讲座/劳动教育</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30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入学教育</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BW1C001</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军事技能（军训）</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2周</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BW1C002</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军事理论</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4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GJ2A001</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-GJ2A004</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体育</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XS1A001</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心理健康教育</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CM1A001</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信息技术</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XS1A004</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劳动教育</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HJ1A019</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大学语文（普通话模块一、二）</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SF1A022</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大学语文（应用文写作模块）</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SF1A023</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大学语文（文学欣赏模块）</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SF2A055</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职场英语一</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SF2A056</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职场英语二</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698"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639" w:type="dxa"/>
            <w:gridSpan w:val="3"/>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小计</w:t>
            </w:r>
          </w:p>
        </w:tc>
        <w:tc>
          <w:tcPr>
            <w:tcW w:w="70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8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71"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46</w:t>
            </w:r>
          </w:p>
        </w:tc>
        <w:tc>
          <w:tcPr>
            <w:tcW w:w="513"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656</w:t>
            </w:r>
          </w:p>
        </w:tc>
        <w:tc>
          <w:tcPr>
            <w:tcW w:w="414"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482</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174</w:t>
            </w:r>
          </w:p>
        </w:tc>
        <w:tc>
          <w:tcPr>
            <w:tcW w:w="42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350"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4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299" w:type="dxa"/>
            <w:vMerge w:val="restart"/>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专业基础模块</w:t>
            </w: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YJ1B002</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病原生物与免疫学</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YJ1B005</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病理学</w:t>
            </w:r>
          </w:p>
        </w:tc>
        <w:tc>
          <w:tcPr>
            <w:tcW w:w="709"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限选</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36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YJ1B001</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药理学</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 xml:space="preserve"> 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36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YJ1B0030</w:t>
            </w:r>
          </w:p>
        </w:tc>
        <w:tc>
          <w:tcPr>
            <w:tcW w:w="1417"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人体解剖与组织胚胎学</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48</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36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YJ1B0007</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生理学</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36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YJ1B0008</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生物化学</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36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HL1B0031</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护理学导论</w:t>
            </w:r>
          </w:p>
        </w:tc>
        <w:tc>
          <w:tcPr>
            <w:tcW w:w="709"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kern w:val="0"/>
                <w:sz w:val="16"/>
                <w:szCs w:val="16"/>
                <w:u w:val="none"/>
                <w:lang w:val="en-US" w:eastAsia="zh-CN" w:bidi="ar"/>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16</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10</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6</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38" w:type="dxa"/>
            <w:shd w:val="clear" w:color="auto" w:fill="auto"/>
            <w:vAlign w:val="center"/>
          </w:tcPr>
          <w:p>
            <w:pPr>
              <w:jc w:val="center"/>
              <w:rPr>
                <w:rFonts w:hint="eastAsia" w:ascii="宋体" w:hAnsi="宋体" w:eastAsia="宋体" w:cs="宋体"/>
                <w:i w:val="0"/>
                <w:iCs w:val="0"/>
                <w:color w:val="000000"/>
                <w:kern w:val="0"/>
                <w:sz w:val="16"/>
                <w:szCs w:val="16"/>
                <w:u w:val="none"/>
                <w:lang w:val="en-US" w:eastAsia="zh-CN" w:bidi="ar"/>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639" w:type="dxa"/>
            <w:gridSpan w:val="3"/>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小计</w:t>
            </w:r>
          </w:p>
        </w:tc>
        <w:tc>
          <w:tcPr>
            <w:tcW w:w="70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8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71"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513"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224</w:t>
            </w:r>
          </w:p>
        </w:tc>
        <w:tc>
          <w:tcPr>
            <w:tcW w:w="414"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112</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112</w:t>
            </w:r>
          </w:p>
        </w:tc>
        <w:tc>
          <w:tcPr>
            <w:tcW w:w="42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350"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4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专业核心模块</w:t>
            </w: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HL1B004</w:t>
            </w:r>
          </w:p>
        </w:tc>
        <w:tc>
          <w:tcPr>
            <w:tcW w:w="1417"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基础护理</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128</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58</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HL2B011</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外科护理</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96</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HL2B009</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内科护理</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96</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HL2B010</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儿科护理</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HL2B012</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妇产科护理</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HL1B007</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健康评估</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HL2B013</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急危重症护理</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kern w:val="0"/>
                <w:sz w:val="16"/>
                <w:szCs w:val="16"/>
                <w:u w:val="none"/>
                <w:lang w:val="en-US" w:eastAsia="zh-CN" w:bidi="ar"/>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51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w:t>
            </w:r>
          </w:p>
        </w:tc>
        <w:tc>
          <w:tcPr>
            <w:tcW w:w="41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327"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639" w:type="dxa"/>
            <w:gridSpan w:val="3"/>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小计</w:t>
            </w:r>
          </w:p>
        </w:tc>
        <w:tc>
          <w:tcPr>
            <w:tcW w:w="70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8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71"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513"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512</w:t>
            </w:r>
          </w:p>
        </w:tc>
        <w:tc>
          <w:tcPr>
            <w:tcW w:w="414"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234</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278</w:t>
            </w:r>
          </w:p>
        </w:tc>
        <w:tc>
          <w:tcPr>
            <w:tcW w:w="42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350"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4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专业实践模块</w:t>
            </w: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HL2C015</w:t>
            </w:r>
          </w:p>
        </w:tc>
        <w:tc>
          <w:tcPr>
            <w:tcW w:w="1417"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岗位实习</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28</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560</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0</w:t>
            </w:r>
          </w:p>
        </w:tc>
        <w:tc>
          <w:tcPr>
            <w:tcW w:w="327" w:type="dxa"/>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560</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w:t>
            </w:r>
          </w:p>
        </w:tc>
        <w:tc>
          <w:tcPr>
            <w:tcW w:w="349" w:type="dxa"/>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w:t>
            </w: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HL2C014</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综合护理技能实训</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48</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0</w:t>
            </w:r>
          </w:p>
        </w:tc>
        <w:tc>
          <w:tcPr>
            <w:tcW w:w="327" w:type="dxa"/>
            <w:shd w:val="clear" w:color="auto" w:fill="auto"/>
            <w:vAlign w:val="center"/>
          </w:tcPr>
          <w:p>
            <w:pPr>
              <w:keepNext w:val="0"/>
              <w:keepLines w:val="0"/>
              <w:widowControl/>
              <w:suppressLineNumbers w:val="0"/>
              <w:jc w:val="both"/>
              <w:textAlignment w:val="center"/>
              <w:rPr>
                <w:rFonts w:hint="default"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48</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662"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639" w:type="dxa"/>
            <w:gridSpan w:val="3"/>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小计</w:t>
            </w:r>
          </w:p>
        </w:tc>
        <w:tc>
          <w:tcPr>
            <w:tcW w:w="70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8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71"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513"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608</w:t>
            </w:r>
          </w:p>
        </w:tc>
        <w:tc>
          <w:tcPr>
            <w:tcW w:w="414"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608</w:t>
            </w:r>
          </w:p>
        </w:tc>
        <w:tc>
          <w:tcPr>
            <w:tcW w:w="42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50" w:type="dxa"/>
            <w:shd w:val="clear" w:color="auto" w:fill="D7D7D7" w:themeFill="background1" w:themeFillShade="D8"/>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Layout w:type="fixed"/>
          <w:tblCellMar>
            <w:top w:w="0" w:type="dxa"/>
            <w:left w:w="108" w:type="dxa"/>
            <w:bottom w:w="0" w:type="dxa"/>
            <w:right w:w="108" w:type="dxa"/>
          </w:tblCellMar>
        </w:tblPrEx>
        <w:trPr>
          <w:trHeight w:val="350" w:hRule="atLeast"/>
        </w:trPr>
        <w:tc>
          <w:tcPr>
            <w:tcW w:w="29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综合素质拓展平台课程程</w:t>
            </w:r>
          </w:p>
        </w:tc>
        <w:tc>
          <w:tcPr>
            <w:tcW w:w="34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综合知识模块</w:t>
            </w: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马克思主义理论类课程</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健康教育</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bookmarkStart w:id="16" w:name="_GoBack"/>
            <w:bookmarkEnd w:id="16"/>
            <w:r>
              <w:rPr>
                <w:rFonts w:hint="eastAsia" w:ascii="宋体" w:hAnsi="宋体" w:eastAsia="宋体" w:cs="宋体"/>
                <w:i w:val="0"/>
                <w:iCs w:val="0"/>
                <w:color w:val="000000"/>
                <w:kern w:val="0"/>
                <w:sz w:val="16"/>
                <w:szCs w:val="16"/>
                <w:u w:val="none"/>
                <w:lang w:val="en-US" w:eastAsia="zh-CN" w:bidi="ar"/>
              </w:rPr>
              <w:t>16</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JW1A001</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中华文化传统课</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四史教育</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美育课程</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16</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16</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公共艺术类课程</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32</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52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环境保护类、国学类</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32</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大学语文</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社会实践活动（第二课堂）</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公共选修课</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i w:val="0"/>
                <w:iCs w:val="0"/>
                <w:color w:val="000000"/>
                <w:sz w:val="16"/>
                <w:szCs w:val="16"/>
                <w:u w:val="none"/>
              </w:rPr>
            </w:pPr>
          </w:p>
        </w:tc>
      </w:tr>
      <w:tr>
        <w:tblPrEx>
          <w:tblLayout w:type="fixed"/>
          <w:tblCellMar>
            <w:top w:w="0" w:type="dxa"/>
            <w:left w:w="108" w:type="dxa"/>
            <w:bottom w:w="0" w:type="dxa"/>
            <w:right w:w="108" w:type="dxa"/>
          </w:tblCellMar>
        </w:tblPrEx>
        <w:trPr>
          <w:trHeight w:val="410" w:hRule="atLeast"/>
        </w:trPr>
        <w:tc>
          <w:tcPr>
            <w:tcW w:w="299" w:type="dxa"/>
            <w:vMerge w:val="continue"/>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9" w:type="dxa"/>
            <w:vMerge w:val="continue"/>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639" w:type="dxa"/>
            <w:gridSpan w:val="3"/>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小计</w:t>
            </w:r>
          </w:p>
        </w:tc>
        <w:tc>
          <w:tcPr>
            <w:tcW w:w="70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8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71"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513"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208</w:t>
            </w:r>
          </w:p>
        </w:tc>
        <w:tc>
          <w:tcPr>
            <w:tcW w:w="414"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208</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42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50"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4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职业</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能力</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w:t>
            </w: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HL2B024</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社区护理</w:t>
            </w:r>
          </w:p>
        </w:tc>
        <w:tc>
          <w:tcPr>
            <w:tcW w:w="709"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HL1B0032</w:t>
            </w:r>
          </w:p>
        </w:tc>
        <w:tc>
          <w:tcPr>
            <w:tcW w:w="1417"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中医护理技术</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51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41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327"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HL1B0033</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传染病护理</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HL1B0034</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精神科护理</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HL2B022</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老年护理</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639" w:type="dxa"/>
            <w:gridSpan w:val="3"/>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小计</w:t>
            </w:r>
          </w:p>
        </w:tc>
        <w:tc>
          <w:tcPr>
            <w:tcW w:w="70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8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71"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513"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96</w:t>
            </w:r>
          </w:p>
        </w:tc>
        <w:tc>
          <w:tcPr>
            <w:tcW w:w="414"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w:t>
            </w:r>
          </w:p>
        </w:tc>
        <w:tc>
          <w:tcPr>
            <w:tcW w:w="42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350"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34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创新</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创业</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w:t>
            </w: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ZJ1A001</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职业生涯规划（必修）</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0</w:t>
            </w:r>
          </w:p>
        </w:tc>
        <w:tc>
          <w:tcPr>
            <w:tcW w:w="422"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338"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ZJ1A002</w:t>
            </w: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就业指导（必修）</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414"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0</w:t>
            </w:r>
          </w:p>
        </w:tc>
        <w:tc>
          <w:tcPr>
            <w:tcW w:w="422"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50"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327"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r>
      <w:tr>
        <w:tblPrEx>
          <w:tblLayout w:type="fixed"/>
          <w:tblCellMar>
            <w:top w:w="0" w:type="dxa"/>
            <w:left w:w="108" w:type="dxa"/>
            <w:bottom w:w="0" w:type="dxa"/>
            <w:right w:w="108" w:type="dxa"/>
          </w:tblCellMar>
        </w:tblPrEx>
        <w:trPr>
          <w:trHeight w:val="482"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职业素养</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414"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422"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r>
      <w:tr>
        <w:tblPrEx>
          <w:tblLayout w:type="fixed"/>
          <w:tblCellMar>
            <w:top w:w="0" w:type="dxa"/>
            <w:left w:w="108" w:type="dxa"/>
            <w:bottom w:w="0" w:type="dxa"/>
            <w:right w:w="108" w:type="dxa"/>
          </w:tblCellMar>
        </w:tblPrEx>
        <w:trPr>
          <w:trHeight w:val="398"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创新创业类课程</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32</w:t>
            </w:r>
          </w:p>
        </w:tc>
        <w:tc>
          <w:tcPr>
            <w:tcW w:w="414"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32</w:t>
            </w:r>
          </w:p>
        </w:tc>
        <w:tc>
          <w:tcPr>
            <w:tcW w:w="422"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r>
      <w:tr>
        <w:tblPrEx>
          <w:tblLayout w:type="fixed"/>
          <w:tblCellMar>
            <w:top w:w="0" w:type="dxa"/>
            <w:left w:w="108" w:type="dxa"/>
            <w:bottom w:w="0" w:type="dxa"/>
            <w:right w:w="108" w:type="dxa"/>
          </w:tblCellMar>
        </w:tblPrEx>
        <w:trPr>
          <w:trHeight w:val="27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专创融合课程</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513"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414"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422"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27"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r>
      <w:tr>
        <w:tblPrEx>
          <w:tblLayout w:type="fixed"/>
          <w:tblCellMar>
            <w:top w:w="0" w:type="dxa"/>
            <w:left w:w="108" w:type="dxa"/>
            <w:bottom w:w="0" w:type="dxa"/>
            <w:right w:w="108" w:type="dxa"/>
          </w:tblCellMar>
        </w:tblPrEx>
        <w:trPr>
          <w:trHeight w:val="350"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50"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14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双创任选项目</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任选</w:t>
            </w:r>
          </w:p>
        </w:tc>
        <w:tc>
          <w:tcPr>
            <w:tcW w:w="502" w:type="dxa"/>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1"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51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32</w:t>
            </w:r>
          </w:p>
        </w:tc>
        <w:tc>
          <w:tcPr>
            <w:tcW w:w="414"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27"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32</w:t>
            </w:r>
          </w:p>
        </w:tc>
        <w:tc>
          <w:tcPr>
            <w:tcW w:w="422"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38"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50"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c>
          <w:tcPr>
            <w:tcW w:w="327" w:type="dxa"/>
            <w:shd w:val="clear" w:color="auto" w:fill="auto"/>
            <w:vAlign w:val="center"/>
          </w:tcPr>
          <w:p>
            <w:pPr>
              <w:rPr>
                <w:rFonts w:hint="eastAsia" w:ascii="宋体" w:hAnsi="宋体" w:eastAsia="宋体" w:cs="宋体"/>
                <w:b w:val="0"/>
                <w:bCs w:val="0"/>
                <w:i w:val="0"/>
                <w:iCs w:val="0"/>
                <w:color w:val="000000"/>
                <w:sz w:val="16"/>
                <w:szCs w:val="16"/>
                <w:u w:val="none"/>
              </w:rPr>
            </w:pPr>
          </w:p>
        </w:tc>
        <w:tc>
          <w:tcPr>
            <w:tcW w:w="349" w:type="dxa"/>
            <w:shd w:val="clear" w:color="auto" w:fill="auto"/>
            <w:vAlign w:val="center"/>
          </w:tcPr>
          <w:p>
            <w:pPr>
              <w:jc w:val="center"/>
              <w:rPr>
                <w:rFonts w:hint="eastAsia" w:ascii="宋体" w:hAnsi="宋体" w:eastAsia="宋体" w:cs="宋体"/>
                <w:b w:val="0"/>
                <w:bCs w:val="0"/>
                <w:i w:val="0"/>
                <w:iCs w:val="0"/>
                <w:color w:val="000000"/>
                <w:sz w:val="16"/>
                <w:szCs w:val="16"/>
                <w:u w:val="none"/>
              </w:rPr>
            </w:pPr>
          </w:p>
        </w:tc>
      </w:tr>
      <w:tr>
        <w:tblPrEx>
          <w:tblLayout w:type="fixed"/>
          <w:tblCellMar>
            <w:top w:w="0" w:type="dxa"/>
            <w:left w:w="108" w:type="dxa"/>
            <w:bottom w:w="0" w:type="dxa"/>
            <w:right w:w="108" w:type="dxa"/>
          </w:tblCellMar>
        </w:tblPrEx>
        <w:trPr>
          <w:trHeight w:val="998" w:hRule="atLeast"/>
        </w:trPr>
        <w:tc>
          <w:tcPr>
            <w:tcW w:w="29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349" w:type="dxa"/>
            <w:vMerge w:val="continue"/>
            <w:shd w:val="clear" w:color="auto" w:fill="auto"/>
            <w:vAlign w:val="center"/>
          </w:tcPr>
          <w:p>
            <w:pPr>
              <w:jc w:val="center"/>
              <w:rPr>
                <w:rFonts w:hint="eastAsia" w:ascii="宋体" w:hAnsi="宋体" w:eastAsia="宋体" w:cs="宋体"/>
                <w:i w:val="0"/>
                <w:iCs w:val="0"/>
                <w:color w:val="000000"/>
                <w:sz w:val="16"/>
                <w:szCs w:val="16"/>
                <w:u w:val="none"/>
              </w:rPr>
            </w:pPr>
          </w:p>
        </w:tc>
        <w:tc>
          <w:tcPr>
            <w:tcW w:w="2639" w:type="dxa"/>
            <w:gridSpan w:val="3"/>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小计</w:t>
            </w:r>
          </w:p>
        </w:tc>
        <w:tc>
          <w:tcPr>
            <w:tcW w:w="70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8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71"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7</w:t>
            </w:r>
          </w:p>
        </w:tc>
        <w:tc>
          <w:tcPr>
            <w:tcW w:w="513"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112</w:t>
            </w:r>
          </w:p>
        </w:tc>
        <w:tc>
          <w:tcPr>
            <w:tcW w:w="414"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32</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80</w:t>
            </w:r>
          </w:p>
        </w:tc>
        <w:tc>
          <w:tcPr>
            <w:tcW w:w="42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2</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0</w:t>
            </w:r>
          </w:p>
        </w:tc>
        <w:tc>
          <w:tcPr>
            <w:tcW w:w="338"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0</w:t>
            </w:r>
          </w:p>
        </w:tc>
        <w:tc>
          <w:tcPr>
            <w:tcW w:w="350"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2</w:t>
            </w:r>
          </w:p>
        </w:tc>
        <w:tc>
          <w:tcPr>
            <w:tcW w:w="327"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0</w:t>
            </w:r>
          </w:p>
        </w:tc>
        <w:tc>
          <w:tcPr>
            <w:tcW w:w="34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0</w:t>
            </w:r>
          </w:p>
        </w:tc>
      </w:tr>
      <w:tr>
        <w:tblPrEx>
          <w:tblLayout w:type="fixed"/>
          <w:tblCellMar>
            <w:top w:w="0" w:type="dxa"/>
            <w:left w:w="108" w:type="dxa"/>
            <w:bottom w:w="0" w:type="dxa"/>
            <w:right w:w="108" w:type="dxa"/>
          </w:tblCellMar>
        </w:tblPrEx>
        <w:trPr>
          <w:trHeight w:val="672" w:hRule="atLeast"/>
        </w:trPr>
        <w:tc>
          <w:tcPr>
            <w:tcW w:w="648" w:type="dxa"/>
            <w:gridSpan w:val="2"/>
            <w:shd w:val="clear" w:color="auto" w:fill="BEBEBE" w:themeFill="background1" w:themeFillShade="B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2639" w:type="dxa"/>
            <w:gridSpan w:val="3"/>
            <w:shd w:val="clear" w:color="auto" w:fill="BEBEBE" w:themeFill="background1" w:themeFillShade="B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合计（总学时数及周学时数）</w:t>
            </w:r>
          </w:p>
        </w:tc>
        <w:tc>
          <w:tcPr>
            <w:tcW w:w="709" w:type="dxa"/>
            <w:shd w:val="clear" w:color="auto" w:fill="BEBEBE" w:themeFill="background1" w:themeFillShade="B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2" w:type="dxa"/>
            <w:shd w:val="clear" w:color="auto" w:fill="BEBEBE" w:themeFill="background1" w:themeFillShade="B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82" w:type="dxa"/>
            <w:shd w:val="clear" w:color="auto" w:fill="BEBEBE" w:themeFill="background1" w:themeFillShade="B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71" w:type="dxa"/>
            <w:shd w:val="clear" w:color="auto" w:fill="BEBEBE" w:themeFill="background1" w:themeFillShade="B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164</w:t>
            </w:r>
          </w:p>
        </w:tc>
        <w:tc>
          <w:tcPr>
            <w:tcW w:w="513" w:type="dxa"/>
            <w:shd w:val="clear" w:color="auto" w:fill="BEBEBE" w:themeFill="background1" w:themeFillShade="B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2640</w:t>
            </w:r>
          </w:p>
        </w:tc>
        <w:tc>
          <w:tcPr>
            <w:tcW w:w="414" w:type="dxa"/>
            <w:shd w:val="clear" w:color="auto" w:fill="BEBEBE" w:themeFill="background1" w:themeFillShade="B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1318</w:t>
            </w:r>
          </w:p>
        </w:tc>
        <w:tc>
          <w:tcPr>
            <w:tcW w:w="327" w:type="dxa"/>
            <w:shd w:val="clear" w:color="auto" w:fill="BEBEBE" w:themeFill="background1" w:themeFillShade="B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1322</w:t>
            </w:r>
          </w:p>
        </w:tc>
        <w:tc>
          <w:tcPr>
            <w:tcW w:w="422" w:type="dxa"/>
            <w:shd w:val="clear" w:color="auto" w:fill="BEBEBE" w:themeFill="background1" w:themeFillShade="B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24.5</w:t>
            </w:r>
          </w:p>
        </w:tc>
        <w:tc>
          <w:tcPr>
            <w:tcW w:w="338" w:type="dxa"/>
            <w:shd w:val="clear" w:color="auto" w:fill="BEBEBE" w:themeFill="background1" w:themeFillShade="B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34.5</w:t>
            </w:r>
          </w:p>
        </w:tc>
        <w:tc>
          <w:tcPr>
            <w:tcW w:w="338" w:type="dxa"/>
            <w:shd w:val="clear" w:color="auto" w:fill="BEBEBE" w:themeFill="background1" w:themeFillShade="B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24.5</w:t>
            </w:r>
          </w:p>
        </w:tc>
        <w:tc>
          <w:tcPr>
            <w:tcW w:w="350" w:type="dxa"/>
            <w:shd w:val="clear" w:color="auto" w:fill="BEBEBE" w:themeFill="background1" w:themeFillShade="B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24.5</w:t>
            </w:r>
          </w:p>
        </w:tc>
        <w:tc>
          <w:tcPr>
            <w:tcW w:w="327" w:type="dxa"/>
            <w:shd w:val="clear" w:color="auto" w:fill="BEBEBE" w:themeFill="background1" w:themeFillShade="B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9" w:type="dxa"/>
            <w:shd w:val="clear" w:color="auto" w:fill="BEBEBE" w:themeFill="background1" w:themeFillShade="B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jc w:val="left"/>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注：1.课程性质分为必修、选修（限选、任选）,表中</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注明</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为必修；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2.考核方法分为考试、考查，</w:t>
      </w:r>
      <w:r>
        <w:rPr>
          <w:rFonts w:hint="eastAsia" w:ascii="仿宋_GB2312" w:hAnsi="仿宋_GB2312" w:eastAsia="仿宋_GB2312" w:cs="仿宋_GB2312"/>
          <w:sz w:val="32"/>
          <w:szCs w:val="32"/>
          <w:lang w:eastAsia="zh-CN"/>
        </w:rPr>
        <w:t>各课程实施时应</w:t>
      </w:r>
      <w:r>
        <w:rPr>
          <w:rFonts w:hint="eastAsia" w:ascii="仿宋_GB2312" w:hAnsi="仿宋_GB2312" w:eastAsia="仿宋_GB2312" w:cs="仿宋_GB2312"/>
          <w:sz w:val="32"/>
          <w:szCs w:val="32"/>
        </w:rPr>
        <w:t>加大过程考核、实践技能考核成绩在课程总成绩中的比重。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3.双创任选项目为：创新创业类讲座、大学生创新项目、创新创业类大赛、技能大赛、创新创业类社团活动，专利、论文、自主创业等，由学生自主选择，至少修满2学分。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（二）教学时间分配表（按周分配）</w:t>
      </w:r>
    </w:p>
    <w:tbl>
      <w:tblPr>
        <w:tblStyle w:val="15"/>
        <w:tblW w:w="86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496"/>
        <w:gridCol w:w="1106"/>
        <w:gridCol w:w="703"/>
        <w:gridCol w:w="666"/>
        <w:gridCol w:w="634"/>
        <w:gridCol w:w="721"/>
        <w:gridCol w:w="661"/>
        <w:gridCol w:w="553"/>
        <w:gridCol w:w="1040"/>
        <w:gridCol w:w="633"/>
        <w:gridCol w:w="722"/>
      </w:tblGrid>
      <w:tr>
        <w:tblPrEx>
          <w:tblLayout w:type="fixed"/>
          <w:tblCellMar>
            <w:top w:w="0" w:type="dxa"/>
            <w:left w:w="108" w:type="dxa"/>
            <w:bottom w:w="0" w:type="dxa"/>
            <w:right w:w="108" w:type="dxa"/>
          </w:tblCellMar>
        </w:tblPrEx>
        <w:trPr>
          <w:trHeight w:val="624"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年</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期</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入学教育</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与军训</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校内实训</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认知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实习</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实习</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毕业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设计</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毕业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教育</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考试</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劳动周及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sz w:val="20"/>
                <w:szCs w:val="20"/>
                <w:u w:val="none"/>
                <w:lang w:val="en-US" w:eastAsia="zh-CN"/>
              </w:rPr>
              <w:t>机动周</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理论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教学</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周数</w:t>
            </w:r>
          </w:p>
        </w:tc>
      </w:tr>
      <w:tr>
        <w:tblPrEx>
          <w:shd w:val="clear" w:color="auto" w:fill="auto"/>
          <w:tblLayout w:type="fixed"/>
          <w:tblCellMar>
            <w:top w:w="0" w:type="dxa"/>
            <w:left w:w="108" w:type="dxa"/>
            <w:bottom w:w="0" w:type="dxa"/>
            <w:right w:w="108" w:type="dxa"/>
          </w:tblCellMar>
        </w:tblPrEx>
        <w:trPr>
          <w:trHeight w:val="420"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一</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default"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16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20</w:t>
            </w:r>
          </w:p>
        </w:tc>
      </w:tr>
      <w:tr>
        <w:tblPrEx>
          <w:shd w:val="clear" w:color="auto" w:fill="auto"/>
          <w:tblLayout w:type="fixed"/>
          <w:tblCellMar>
            <w:top w:w="0" w:type="dxa"/>
            <w:left w:w="108" w:type="dxa"/>
            <w:bottom w:w="0" w:type="dxa"/>
            <w:right w:w="108" w:type="dxa"/>
          </w:tblCellMar>
        </w:tblPrEx>
        <w:trPr>
          <w:trHeight w:val="420"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二</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default"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18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20</w:t>
            </w:r>
          </w:p>
        </w:tc>
      </w:tr>
      <w:tr>
        <w:tblPrEx>
          <w:shd w:val="clear" w:color="auto" w:fill="auto"/>
          <w:tblLayout w:type="fixed"/>
          <w:tblCellMar>
            <w:top w:w="0" w:type="dxa"/>
            <w:left w:w="108" w:type="dxa"/>
            <w:bottom w:w="0" w:type="dxa"/>
            <w:right w:w="108" w:type="dxa"/>
          </w:tblCellMar>
        </w:tblPrEx>
        <w:trPr>
          <w:trHeight w:val="420"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三</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default"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18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20</w:t>
            </w:r>
          </w:p>
        </w:tc>
      </w:tr>
      <w:tr>
        <w:tblPrEx>
          <w:shd w:val="clear" w:color="auto" w:fill="auto"/>
          <w:tblLayout w:type="fixed"/>
          <w:tblCellMar>
            <w:top w:w="0" w:type="dxa"/>
            <w:left w:w="108" w:type="dxa"/>
            <w:bottom w:w="0" w:type="dxa"/>
            <w:right w:w="108" w:type="dxa"/>
          </w:tblCellMar>
        </w:tblPrEx>
        <w:trPr>
          <w:trHeight w:val="420"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四</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default"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18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20</w:t>
            </w:r>
          </w:p>
        </w:tc>
      </w:tr>
      <w:tr>
        <w:tblPrEx>
          <w:shd w:val="clear" w:color="auto" w:fill="auto"/>
          <w:tblLayout w:type="fixed"/>
          <w:tblCellMar>
            <w:top w:w="0" w:type="dxa"/>
            <w:left w:w="108" w:type="dxa"/>
            <w:bottom w:w="0" w:type="dxa"/>
            <w:right w:w="108" w:type="dxa"/>
          </w:tblCellMar>
        </w:tblPrEx>
        <w:trPr>
          <w:trHeight w:val="420"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五</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default"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16</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default"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3</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1</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20</w:t>
            </w:r>
          </w:p>
        </w:tc>
      </w:tr>
      <w:tr>
        <w:tblPrEx>
          <w:shd w:val="clear" w:color="auto" w:fill="auto"/>
          <w:tblLayout w:type="fixed"/>
          <w:tblCellMar>
            <w:top w:w="0" w:type="dxa"/>
            <w:left w:w="108" w:type="dxa"/>
            <w:bottom w:w="0" w:type="dxa"/>
            <w:right w:w="108" w:type="dxa"/>
          </w:tblCellMar>
        </w:tblPrEx>
        <w:trPr>
          <w:trHeight w:val="420"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六</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default" w:ascii="宋体" w:hAnsi="宋体" w:eastAsia="宋体" w:cs="Times New Roman"/>
                <w:color w:val="000000"/>
                <w:sz w:val="22"/>
                <w:szCs w:val="22"/>
                <w:lang w:val="en-US"/>
              </w:rPr>
            </w:pPr>
            <w:r>
              <w:rPr>
                <w:rFonts w:hint="eastAsia" w:ascii="宋体" w:hAnsi="宋体" w:eastAsia="宋体" w:cs="Times New Roman"/>
                <w:color w:val="000000"/>
                <w:sz w:val="22"/>
                <w:szCs w:val="22"/>
                <w:lang w:val="en-US" w:eastAsia="zh-CN"/>
              </w:rPr>
              <w:t>16</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default"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3</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default"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1</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20</w:t>
            </w:r>
          </w:p>
        </w:tc>
      </w:tr>
      <w:tr>
        <w:tblPrEx>
          <w:shd w:val="clear" w:color="auto" w:fill="auto"/>
          <w:tblLayout w:type="fixed"/>
          <w:tblCellMar>
            <w:top w:w="0" w:type="dxa"/>
            <w:left w:w="108" w:type="dxa"/>
            <w:bottom w:w="0" w:type="dxa"/>
            <w:right w:w="108" w:type="dxa"/>
          </w:tblCellMar>
        </w:tblPrEx>
        <w:trPr>
          <w:trHeight w:val="420" w:hRule="exact"/>
        </w:trPr>
        <w:tc>
          <w:tcPr>
            <w:tcW w:w="1217" w:type="dxa"/>
            <w:gridSpan w:val="2"/>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合计</w:t>
            </w:r>
          </w:p>
        </w:tc>
        <w:tc>
          <w:tcPr>
            <w:tcW w:w="110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460" w:lineRule="exact"/>
              <w:jc w:val="center"/>
              <w:rPr>
                <w:rFonts w:hint="eastAsia"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2</w:t>
            </w:r>
          </w:p>
        </w:tc>
        <w:tc>
          <w:tcPr>
            <w:tcW w:w="70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460" w:lineRule="exact"/>
              <w:jc w:val="center"/>
              <w:rPr>
                <w:rFonts w:hint="eastAsia" w:ascii="宋体" w:hAnsi="宋体" w:eastAsia="宋体" w:cs="Times New Roman"/>
                <w:color w:val="000000"/>
                <w:sz w:val="22"/>
                <w:szCs w:val="22"/>
              </w:rPr>
            </w:pPr>
          </w:p>
        </w:tc>
        <w:tc>
          <w:tcPr>
            <w:tcW w:w="66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460" w:lineRule="exact"/>
              <w:jc w:val="center"/>
              <w:rPr>
                <w:rFonts w:hint="eastAsia" w:ascii="宋体" w:hAnsi="宋体" w:eastAsia="宋体" w:cs="Times New Roman"/>
                <w:color w:val="000000"/>
                <w:sz w:val="22"/>
                <w:szCs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460" w:lineRule="exact"/>
              <w:jc w:val="center"/>
              <w:rPr>
                <w:rFonts w:hint="default"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32</w:t>
            </w:r>
          </w:p>
        </w:tc>
        <w:tc>
          <w:tcPr>
            <w:tcW w:w="721"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460" w:lineRule="exact"/>
              <w:jc w:val="center"/>
              <w:rPr>
                <w:rFonts w:hint="default"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6</w:t>
            </w:r>
          </w:p>
        </w:tc>
        <w:tc>
          <w:tcPr>
            <w:tcW w:w="661"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460" w:lineRule="exact"/>
              <w:jc w:val="center"/>
              <w:rPr>
                <w:rFonts w:hint="eastAsia"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2</w:t>
            </w:r>
          </w:p>
        </w:tc>
        <w:tc>
          <w:tcPr>
            <w:tcW w:w="55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460" w:lineRule="exact"/>
              <w:jc w:val="center"/>
              <w:rPr>
                <w:rFonts w:hint="eastAsia"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4</w:t>
            </w:r>
          </w:p>
        </w:tc>
        <w:tc>
          <w:tcPr>
            <w:tcW w:w="104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460" w:lineRule="exact"/>
              <w:jc w:val="center"/>
              <w:rPr>
                <w:rFonts w:hint="default"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4</w:t>
            </w:r>
          </w:p>
        </w:tc>
        <w:tc>
          <w:tcPr>
            <w:tcW w:w="63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460" w:lineRule="exact"/>
              <w:jc w:val="center"/>
              <w:rPr>
                <w:rFonts w:hint="default"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70</w:t>
            </w:r>
          </w:p>
        </w:tc>
        <w:tc>
          <w:tcPr>
            <w:tcW w:w="722"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460" w:lineRule="exact"/>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lang w:val="en-US" w:eastAsia="zh-CN"/>
              </w:rPr>
              <w:t>120</w:t>
            </w:r>
          </w:p>
        </w:tc>
      </w:tr>
    </w:tbl>
    <w:p>
      <w:pPr>
        <w:keepNext w:val="0"/>
        <w:keepLines w:val="0"/>
        <w:pageBreakBefore w:val="0"/>
        <w:widowControl w:val="0"/>
        <w:kinsoku/>
        <w:wordWrap/>
        <w:overflowPunct/>
        <w:topLinePunct w:val="0"/>
        <w:autoSpaceDE/>
        <w:autoSpaceDN/>
        <w:bidi w:val="0"/>
        <w:adjustRightInd/>
        <w:snapToGrid/>
        <w:spacing w:after="156" w:afterLines="50" w:line="560" w:lineRule="exact"/>
        <w:ind w:firstLine="640" w:firstLineChars="200"/>
        <w:textAlignment w:val="auto"/>
        <w:rPr>
          <w:rFonts w:hint="eastAsia" w:ascii="仿宋_GB2312" w:hAnsi="仿宋_GB2312" w:eastAsia="仿宋_GB2312" w:cs="仿宋_GB2312"/>
          <w:sz w:val="32"/>
          <w:szCs w:val="32"/>
        </w:rPr>
      </w:pPr>
      <w:bookmarkStart w:id="13" w:name="_Toc14343075"/>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lang w:eastAsia="zh-CN"/>
        </w:rPr>
        <w:t>实际执行时，</w:t>
      </w:r>
      <w:r>
        <w:rPr>
          <w:rFonts w:hint="eastAsia" w:ascii="仿宋_GB2312" w:hAnsi="仿宋_GB2312" w:eastAsia="仿宋_GB2312" w:cs="仿宋_GB2312"/>
          <w:sz w:val="32"/>
          <w:szCs w:val="32"/>
        </w:rPr>
        <w:t>学期周数</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校历上学期周数。</w:t>
      </w:r>
    </w:p>
    <w:p>
      <w:pPr>
        <w:pStyle w:val="3"/>
        <w:spacing w:before="0" w:after="0" w:line="360" w:lineRule="auto"/>
        <w:ind w:firstLine="157" w:firstLineChars="49"/>
        <w:rPr>
          <w:rFonts w:hint="eastAsia" w:ascii="黑体" w:hAnsi="黑体" w:eastAsia="黑体"/>
          <w:sz w:val="32"/>
          <w:szCs w:val="36"/>
        </w:rPr>
      </w:pPr>
      <w:r>
        <w:rPr>
          <w:rFonts w:hint="eastAsia" w:ascii="黑体" w:hAnsi="黑体" w:eastAsia="黑体"/>
          <w:sz w:val="32"/>
          <w:szCs w:val="36"/>
        </w:rPr>
        <w:t>八、实施保障</w:t>
      </w:r>
      <w:bookmarkEnd w:id="13"/>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lang w:val="en-US" w:eastAsia="zh-CN"/>
        </w:rPr>
      </w:pPr>
      <w:bookmarkStart w:id="14" w:name="_Toc14343076"/>
      <w:r>
        <w:rPr>
          <w:rFonts w:hint="eastAsia" w:ascii="仿宋_GB2312" w:hAnsi="仿宋_GB2312" w:eastAsia="仿宋_GB2312" w:cs="仿宋_GB2312"/>
          <w:b w:val="0"/>
          <w:bCs w:val="0"/>
          <w:sz w:val="32"/>
          <w:szCs w:val="32"/>
          <w:lang w:val="en-US" w:eastAsia="zh-CN"/>
        </w:rPr>
        <w:t xml:space="preserve">（一）师资队伍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队伍结构</w:t>
      </w:r>
    </w:p>
    <w:p>
      <w:pPr>
        <w:keepNext w:val="0"/>
        <w:keepLines w:val="0"/>
        <w:pageBreakBefore w:val="0"/>
        <w:widowControl w:val="0"/>
        <w:kinsoku/>
        <w:wordWrap/>
        <w:topLinePunct w:val="0"/>
        <w:autoSpaceDE/>
        <w:autoSpaceDN/>
        <w:bidi w:val="0"/>
        <w:snapToGrid/>
        <w:spacing w:line="460" w:lineRule="atLeas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现有教职工17人，其中专业教师12人，硕士研究生4人，高级职称2人，中级职称3人，占教师总数的近33%，有行业学科带头1人，双师型教师11人，双师素质教师占专业教师比例83%。</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2.专业教师情况</w:t>
      </w:r>
    </w:p>
    <w:p>
      <w:pPr>
        <w:keepNext w:val="0"/>
        <w:keepLines w:val="0"/>
        <w:pageBreakBefore w:val="0"/>
        <w:widowControl w:val="0"/>
        <w:kinsoku/>
        <w:wordWrap/>
        <w:topLinePunct w:val="0"/>
        <w:autoSpaceDE/>
        <w:autoSpaceDN/>
        <w:bidi w:val="0"/>
        <w:snapToGrid/>
        <w:spacing w:line="460" w:lineRule="atLeas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专业教师队伍是一支有理想信念、有道德情操、有扎实学识、有仁爱之心的凝聚力强的团队；均具有医学相关背景；具有扎实的本专业相关理论功底和实践能力；具有较强信息化教学能力，能够开展课程教学改革和科学研究；能够较好地把握护理专业发展，能广泛联系医疗卫生行业，了解行业对本专业人才的实际需求，教学设计、专业研究能力强，组织开展教科研工作能力强，在本区域、本领域具有一定的专业影响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3.专业带头人（负责人）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64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护理专业采用双带头人（负责人）制度，学院里是护理教研室主任，主持学院在线开放课程1项，申报工作手册式教材1项、“金课”建设项目1项。发表学术论文2篇，参与院内重点科研课题1项，参与伊犁州教育教学课题1项，主持学院科研课题1项、教改课题1项。主要获奖情况：2023年在自治区职业院校护理技能大赛中获得三等奖；在2022年伊犁州职业院校第一届课程思政教学能力大赛中荣获一等奖；2022年获得学院教学能手、三八红旗手荣誉称号；在2021年新疆应用职业技术学院技能大赛教学能力比赛中荣获二等奖；在2020年自治区职业院校技能大赛教学能力比赛高职组专业课程二组比赛中荣获一等奖。行业带头人</w:t>
      </w:r>
      <w:r>
        <w:rPr>
          <w:rFonts w:hint="default" w:ascii="仿宋_GB2312" w:hAnsi="仿宋_GB2312" w:eastAsia="仿宋_GB2312" w:cs="仿宋_GB2312"/>
          <w:b w:val="0"/>
          <w:bCs w:val="0"/>
          <w:color w:val="000000"/>
          <w:sz w:val="32"/>
          <w:szCs w:val="32"/>
          <w:lang w:val="en-US" w:eastAsia="zh-CN"/>
        </w:rPr>
        <w:t>秦文敏</w:t>
      </w:r>
      <w:r>
        <w:rPr>
          <w:rFonts w:hint="eastAsia" w:ascii="仿宋_GB2312" w:hAnsi="仿宋_GB2312" w:eastAsia="仿宋_GB2312" w:cs="仿宋_GB2312"/>
          <w:b w:val="0"/>
          <w:bCs w:val="0"/>
          <w:color w:val="000000"/>
          <w:sz w:val="32"/>
          <w:szCs w:val="32"/>
          <w:lang w:val="en-US" w:eastAsia="zh-CN"/>
        </w:rPr>
        <w:t>，是</w:t>
      </w:r>
      <w:r>
        <w:rPr>
          <w:rFonts w:hint="default" w:ascii="仿宋_GB2312" w:hAnsi="仿宋_GB2312" w:eastAsia="仿宋_GB2312" w:cs="仿宋_GB2312"/>
          <w:b w:val="0"/>
          <w:bCs w:val="0"/>
          <w:color w:val="000000"/>
          <w:sz w:val="32"/>
          <w:szCs w:val="32"/>
          <w:lang w:val="en-US" w:eastAsia="zh-CN"/>
        </w:rPr>
        <w:t>徐州市医学青年后备人才，徐州市双百高层次人才培养工程拔尖人才，南京中医药大学硕士研究生导师，江苏省中医药学会妇科专业委员会青年委员。毕业于广州中医药大学，师从著名中医妇科专家、珠江学者罗颂平教授。长期专注于妇科临床、教学及科研工作，具有扎实的生殖内分泌知识，擅长中西医结合治疗生殖障碍性疾病：不孕不育、复发性流产、子宫内膜异位症、多囊卵巢综合征、生殖系统畸形及妇科炎症、痛症、更年期综合征等疾病，熟练应用宫、腹腔镜微创手术治疗子宫内膜异位症、生殖系统畸形、不孕相关妇科良性肿瘤等。主持多项省、市级科研课题，发表专业学术论文10余篇，其中</w:t>
      </w:r>
      <w:r>
        <w:rPr>
          <w:rFonts w:hint="eastAsia" w:ascii="仿宋_GB2312" w:hAnsi="仿宋_GB2312" w:eastAsia="仿宋_GB2312" w:cs="仿宋_GB2312"/>
          <w:b w:val="0"/>
          <w:bCs w:val="0"/>
          <w:color w:val="000000"/>
          <w:sz w:val="32"/>
          <w:szCs w:val="32"/>
          <w:lang w:val="en-US" w:eastAsia="zh-CN"/>
        </w:rPr>
        <w:t>SCI</w:t>
      </w:r>
      <w:r>
        <w:rPr>
          <w:rFonts w:hint="default" w:ascii="仿宋_GB2312" w:hAnsi="仿宋_GB2312" w:eastAsia="仿宋_GB2312" w:cs="仿宋_GB2312"/>
          <w:b w:val="0"/>
          <w:bCs w:val="0"/>
          <w:color w:val="000000"/>
          <w:sz w:val="32"/>
          <w:szCs w:val="32"/>
          <w:lang w:val="en-US" w:eastAsia="zh-CN"/>
        </w:rPr>
        <w:t>论文2篇。</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4.兼职教师</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现有稳定的三甲医院兼职教师队伍20人，具备良好的思想政治素质、职业道德和工匠精神，具有扎实的专业知识和丰富的实际工作经验，并且具备中级及以上相关专业职称，能承担专业课理论教学、实习实训指导和学生职业发展规划指导等教学任务。</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（二）教学设施</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主要包括能够满足正常的课程教学、实习实训所需的专业教室、实训室和实训基地。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1.专业教室基本条件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专业教室均配备有：智慧黑板；多媒体计算机、高清投影设备、音响设备；有良好的网络环境，并实施网络安全防护措施；安装应急照明装置并保持良好状态，符合紧急疏散要求，标志明显，保持逃生通道畅通无阻。</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2.校内实训室基本条件</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学院投入1100万元购置了27间实训室和18间基础实验室的设备，建筑总面积4192.5平方米。</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校内实训室以模拟医院的形式建设，涵盖了基础护理、内科护理、外科护理、儿科护理、妇科护理、产科护理、急救护理、老年护理、形体及礼仪、ICU等实训室。教学设备包括高级手臂输液模型、高级臀部肌肉注射模型、高级手臂皮内注射模型、心肺听诊和腹部触诊模型、高级创伤模型、新生儿模拟人、新生儿心肺复苏模拟人、高级分娩模型、心肺复苏模拟人、老年护理模型、按摩点穴电子人体模型等，能满足对学生进行基础护理、专科护理、中医护理和人文素质等能力的培养。</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实验室供解剖、化学、物理、生化、生物、生理、药理、病原微生物等学科进行实验操作。目前，一楼为化学生化实验室、解剖实验室、大体标本陈列室。二楼为生理实验室、病原微生物实验室、人体生命馆、三楼是病理实验室、中草药标本陈列室、病理标本陈列室、药理实验室。四楼是显微镜室、物理实验室、职工之家。五楼是三个计算机室、语音室。可同时容纳2400名学生进行各项实验操作。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3.校外实训基地基本条件</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与伊犁州奎屯医院签订校外实训基地协议，能够开展护理专业校外实训、课程见习等活动；实训设施齐备，实训岗位、实训指导教师确定，实训管理及实施规章制度齐全。</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4.学生实习基地基本条件</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与疆内38家公立二级甲等及以上综合医院签订实习基地协议，能够长期、稳定、保证学生临床护理岗位实习。实习基地能涵盖当前各类常见病、多发病诊疗护理技术，可接纳一定规模的学生实习；能够配备相应数量的指导老师，对实习学生进行一对一的临床指导和管理；有保证实习生日常工作、学习、生活的规章制度，有安全、实习责任保险保障。</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5.支持信息化教学方面的基本条件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信息技术在教学中应用的越来越多，既能促进教师教学手段多样化，又能激发学生学习兴趣。目前运用的线上教学平台有：智慧职教、学习通软件等线上平台辅助教学；教师自行录制的在线开放课程《护理学基础》已经结项并线上对全校师生免费开放使用，后期将有更多在线开放课程上线；计划2023年引入护理学基础虚拟仿真系统辅助教学，购买医考学堂线上APP帮助学生提高全国护士执业资格证考试通过率。实习期间引用工学云平台对学生进行实习情况的管理。</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（三）教学资源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主要包括能够满足学生专业学习、教师专业教学研究和教学实施需要的教材、图书及数字化资源等。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1.教材选用情况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按照国家规定选用优质教材，禁止不合格的教材进入课堂。学校建立了专业教师、行业专家和教研人员等参与的教材选用机构，完善教材选用制度，经过规范程序择优选用教材。</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2.图书、文献配备情况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常年订阅《中华护理教育》杂志，图书文献配备能满足人才培养、专业建设、教科研等工作的需要，方便师生查询、借阅。专业类图书文献主要包括：护士手册、各类常见病的诊疗、药物的使用、营养膳食、各类癌症疾病的治疗、护考书籍，医学类类图书、期刊，护理类的专业图书、期刊等。</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3.数字教学资源配置基本要求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建设、配备与本专业有关的音视频素材、教学课件、数字化教学案例库、虚拟仿真软件、数字教材等专业教学资源库，种类丰富、形式多样、使用便捷、动态更新，能满足教学要求。</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bCs w:val="0"/>
          <w:sz w:val="32"/>
          <w:szCs w:val="32"/>
          <w:lang w:val="en-US" w:eastAsia="zh-CN"/>
        </w:rPr>
        <w:t xml:space="preserve">（四）教学方法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本专业课程在教学实施中采用的方法包含但不仅限于理论讲授、实践操作、依托信息化手段的自主学习、理实一体的项目式教学、翻转课堂、分组讨论。</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sz w:val="32"/>
          <w:szCs w:val="32"/>
          <w:lang w:val="en-US" w:eastAsia="zh-CN"/>
        </w:rPr>
        <w:t>学习评价</w:t>
      </w:r>
      <w:r>
        <w:rPr>
          <w:rFonts w:hint="eastAsia" w:ascii="仿宋_GB2312" w:hAnsi="仿宋_GB2312" w:eastAsia="仿宋_GB2312" w:cs="仿宋_GB2312"/>
          <w:b w:val="0"/>
          <w:bCs w:val="0"/>
          <w:color w:val="000000"/>
          <w:kern w:val="0"/>
          <w:sz w:val="32"/>
          <w:szCs w:val="32"/>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在课堂教学实施过程中，采取立体式、多元化的评价方式，有感知和无感知、单节课和学期、主观和客观相结合，收集教学全过程数据进行综合评价，评价信息更有参考价值。</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1.考勤评价占10%；根据平时上课迟到、旷课、早退情况等进行综合评价，实习期间根据工学云每日签到、周报、月报及医院考勤记录等进行评价；</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2.作业评价占10%；根据线上题库作业完成情况及准确率进行客观评价，线下教师授课过程中布置的作业完成率及准确率进行主观评价；</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3.小组互评10%赋予学生评价的权力，小组之间进行评价；</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4.参与评价10%。根据课堂活动参与积极性，技能比赛等活动参与情况进行评价；</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5.测试评价60%。根据随堂测试、阶段性测试、期末测试成绩进行客观评价。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（六）质量管理</w:t>
      </w:r>
    </w:p>
    <w:p>
      <w:pPr>
        <w:pStyle w:val="5"/>
        <w:numPr>
          <w:ilvl w:val="0"/>
          <w:numId w:val="0"/>
        </w:numPr>
        <w:spacing w:before="122" w:line="321" w:lineRule="auto"/>
        <w:ind w:right="117" w:rightChars="0"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zh-TW" w:eastAsia="zh-TW" w:bidi="ar-SA"/>
        </w:rPr>
        <w:t>在护理人才培养方案的实施中，质量管理是至关重要的一环，它能够确保培养出的护理</w:t>
      </w:r>
      <w:r>
        <w:rPr>
          <w:rFonts w:hint="eastAsia" w:ascii="仿宋_GB2312" w:hAnsi="仿宋_GB2312" w:eastAsia="仿宋_GB2312" w:cs="仿宋_GB2312"/>
          <w:b w:val="0"/>
          <w:bCs w:val="0"/>
          <w:color w:val="000000"/>
          <w:kern w:val="0"/>
          <w:sz w:val="32"/>
          <w:szCs w:val="32"/>
          <w:lang w:val="zh-TW" w:eastAsia="zh-TW" w:bidi="ar"/>
        </w:rPr>
        <w:t>人才具备高水平的专业素养和能力，以适应快速变化的医疗环境和社会需求。</w:t>
      </w:r>
      <w:r>
        <w:rPr>
          <w:rFonts w:hint="eastAsia" w:ascii="仿宋_GB2312" w:hAnsi="仿宋_GB2312" w:eastAsia="仿宋_GB2312" w:cs="仿宋_GB2312"/>
          <w:b w:val="0"/>
          <w:bCs w:val="0"/>
          <w:color w:val="000000"/>
          <w:kern w:val="0"/>
          <w:sz w:val="32"/>
          <w:szCs w:val="32"/>
          <w:lang w:val="en-US" w:eastAsia="zh-CN" w:bidi="ar"/>
        </w:rPr>
        <w:t>质量管理的运行由管理教学副院长负责，教务处作为关健环</w:t>
      </w:r>
      <w:r>
        <w:rPr>
          <w:rFonts w:hint="eastAsia" w:ascii="仿宋_GB2312" w:hAnsi="仿宋_GB2312" w:eastAsia="仿宋_GB2312" w:cs="仿宋_GB2312"/>
          <w:b w:val="0"/>
          <w:bCs w:val="0"/>
          <w:kern w:val="2"/>
          <w:sz w:val="32"/>
          <w:szCs w:val="32"/>
          <w:lang w:val="en-US" w:eastAsia="zh-CN" w:bidi="ar-SA"/>
        </w:rPr>
        <w:t>节和监控执行的中心组织及时处理各项事务及位息，根据有关制度和方案制定该学年应实施的监控环节计划，由教学副院长决策部署。</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1.教学常规检查</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建立教学常规检查制应。定期公布教学检查结果，该项检查主要采用以下方式：</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1.1定期检查。即开展期初、期中、期末教学检查。开学初第一周进行以教学准备、师生到课率为重点的期初教学检查。学期中进行以教学进度、教学内容和效果为重点的期中教学检查，包括教师教学工作、教学组织、教学态度、教学内容、教学方法、教学效果、教书育人情况及各主要教学环节等方面的情况；教研室开展教研活动情况及教学改革情况；学生学习情况，包括学生的学风、学生课堂纪律、到课出勤率、自习情况、完成作业情况等；教学管理情况，管理工作的科学性、规范性以及管理人员的服务态度、工作纪律等；教学环境和教学条件情况；学期末进行以考风、考纪为重点的考试环节的考核检查。</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2.教学督导、领导听课、学生评教</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2.1教学督导。学院教务处组织专业教学委员会及各教研室主任通过听课、查课、座谈等方式，有重点地监控教学运行过程，评估教学质量，收集、分析、调查和研究教与学双方存的问题，指导任课老师进行教学内容、教学方法的改革，对教学管理工作提出合理化建议。</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2.2领导听课。领导、教研室主任按要求完成听课任务并认真填写听课记录表，对被听课教师的教学效果给子综合评价。听课表交教务处汇总分析，并将结果、相关建议向被听课人反馈，对听课中发现的问题要及时进行整改、处理。</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2.3学生评教。每学期安排学生进行评教，教务处统计汇总学生评教结果，对评教结果进行书面分析，形成学生评教报告，</w:t>
      </w:r>
      <w:r>
        <w:rPr>
          <w:rFonts w:hint="eastAsia" w:ascii="仿宋_GB2312" w:hAnsi="仿宋_GB2312" w:eastAsia="仿宋_GB2312" w:cs="仿宋_GB2312"/>
          <w:b w:val="0"/>
          <w:bCs w:val="0"/>
          <w:color w:val="000000"/>
          <w:kern w:val="0"/>
          <w:sz w:val="32"/>
          <w:szCs w:val="32"/>
          <w:lang w:val="en-US" w:eastAsia="zh-CN" w:bidi="ar"/>
        </w:rPr>
        <w:t>并向教学副院长，教师所在教研室和本人反馈。</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 3.信息反馈</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 教学质量内部信息反馈，主要经由学生教学信息员和教务处两方面渠道进行。</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 学生教学信息员反馈：主要由学生教学信息员收集本班的教学情况和对教学的意见、建议，通过书面形式定期或不定期向教务处等教学管理部门反馈。教学质量管理科及时将学生信息员反映的意见传达给有关部门。</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 教务处反馈：教务处定期召开教学督导信息反馈会议、教师座谈会、及时将教学情况通过各教研室主任反馈给教师、学生，并做好反馈的记录。</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 4.会议会诊</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学院专业教学指导委员会依据其工作职责定期召开会议，对教学质量进行会诊，严把人才培养工作评价质量关。</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 5.管理纠偏</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教务处根据教学检查，教学质量测评的结果以及反馈信息，对各专业教研室及每位教师在执行学院有关教学规章制度中出现的问题及时进行纠偏，限期整改。</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6.奖惩处理</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将教学质量与教师年度考核等次、优秀教师及二级学院年度目标考核评选挂钩。</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7.质量跟踪</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由招就办到用人单位对华业生进行跟踪调查，根据毕业生就业及市场调查的结果，向学院领导及专业教学指导委员会提供社会人才需求、培养规格、能力体系要求等教学要求信息，以进一步完善人才培养工作评价。</w:t>
      </w:r>
    </w:p>
    <w:p>
      <w:pPr>
        <w:pStyle w:val="3"/>
        <w:spacing w:before="0" w:after="0" w:line="360" w:lineRule="auto"/>
        <w:ind w:firstLine="157" w:firstLineChars="49"/>
        <w:rPr>
          <w:rFonts w:hint="eastAsia" w:ascii="黑体" w:hAnsi="黑体" w:eastAsia="黑体"/>
          <w:sz w:val="32"/>
          <w:szCs w:val="36"/>
        </w:rPr>
      </w:pPr>
      <w:r>
        <w:rPr>
          <w:rFonts w:hint="eastAsia" w:ascii="黑体" w:hAnsi="黑体" w:eastAsia="黑体"/>
          <w:sz w:val="32"/>
          <w:szCs w:val="36"/>
        </w:rPr>
        <w:t>九、毕业要求</w:t>
      </w:r>
      <w:bookmarkEnd w:id="14"/>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56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color w:val="auto"/>
          <w:lang w:eastAsia="zh-CN"/>
        </w:rPr>
        <w:t>　</w:t>
      </w:r>
      <w:r>
        <w:rPr>
          <w:rFonts w:hint="eastAsia" w:ascii="仿宋_GB2312" w:hAnsi="仿宋_GB2312" w:eastAsia="仿宋_GB2312" w:cs="仿宋_GB2312"/>
          <w:b w:val="0"/>
          <w:bCs w:val="0"/>
          <w:color w:val="000000"/>
          <w:kern w:val="0"/>
          <w:sz w:val="32"/>
          <w:szCs w:val="32"/>
          <w:lang w:val="en-US" w:eastAsia="zh-CN" w:bidi="ar"/>
        </w:rPr>
        <w:t>本专业学生应达到以下标准方可获得毕业文凭：</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22" w:line="560" w:lineRule="exact"/>
        <w:ind w:right="119"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1.取得164学分，其中必修课136 学分，选修课28学分。选修课学分包括：公共选修课学分不得低于15学分，专业选修课不低于8学分，创新创业选修课不低于5学分，具体选修课学分要求详见下表。</w:t>
      </w:r>
    </w:p>
    <w:tbl>
      <w:tblPr>
        <w:tblStyle w:val="16"/>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049"/>
        <w:gridCol w:w="840"/>
        <w:gridCol w:w="930"/>
        <w:gridCol w:w="2414"/>
        <w:gridCol w:w="985"/>
      </w:tblGrid>
      <w:tr>
        <w:tblPrEx>
          <w:tblLayout w:type="fixed"/>
          <w:tblCellMar>
            <w:top w:w="0" w:type="dxa"/>
            <w:left w:w="108" w:type="dxa"/>
            <w:bottom w:w="0" w:type="dxa"/>
            <w:right w:w="108" w:type="dxa"/>
          </w:tblCellMar>
        </w:tblPrEx>
        <w:trPr>
          <w:trHeight w:val="417" w:hRule="atLeast"/>
          <w:jc w:val="center"/>
        </w:trPr>
        <w:tc>
          <w:tcPr>
            <w:tcW w:w="1753" w:type="dxa"/>
            <w:vMerge w:val="restart"/>
            <w:vAlign w:val="center"/>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公共选修课最低学分要求</w:t>
            </w:r>
          </w:p>
        </w:tc>
        <w:tc>
          <w:tcPr>
            <w:tcW w:w="1049" w:type="dxa"/>
            <w:vMerge w:val="restart"/>
            <w:vAlign w:val="center"/>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15学分</w:t>
            </w:r>
          </w:p>
        </w:tc>
        <w:tc>
          <w:tcPr>
            <w:tcW w:w="840" w:type="dxa"/>
            <w:vMerge w:val="restart"/>
            <w:vAlign w:val="center"/>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限选</w:t>
            </w:r>
          </w:p>
        </w:tc>
        <w:tc>
          <w:tcPr>
            <w:tcW w:w="930" w:type="dxa"/>
            <w:vMerge w:val="restart"/>
            <w:vAlign w:val="center"/>
          </w:tcPr>
          <w:p>
            <w:pPr>
              <w:pStyle w:val="17"/>
              <w:widowControl w:val="0"/>
              <w:spacing w:line="360" w:lineRule="auto"/>
              <w:jc w:val="center"/>
              <w:rPr>
                <w:rFonts w:hint="default"/>
                <w:color w:val="auto"/>
                <w:sz w:val="21"/>
                <w:szCs w:val="21"/>
                <w:lang w:val="en-US" w:eastAsia="zh-CN"/>
              </w:rPr>
            </w:pPr>
            <w:r>
              <w:rPr>
                <w:rFonts w:hint="eastAsia"/>
                <w:color w:val="auto"/>
                <w:sz w:val="21"/>
                <w:szCs w:val="21"/>
                <w:lang w:val="en-US" w:eastAsia="zh-CN"/>
              </w:rPr>
              <w:t>13学分</w:t>
            </w:r>
          </w:p>
        </w:tc>
        <w:tc>
          <w:tcPr>
            <w:tcW w:w="2414" w:type="dxa"/>
            <w:vAlign w:val="center"/>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马克思主义理论类</w:t>
            </w:r>
          </w:p>
        </w:tc>
        <w:tc>
          <w:tcPr>
            <w:tcW w:w="985" w:type="dxa"/>
            <w:vAlign w:val="center"/>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1学分</w:t>
            </w:r>
          </w:p>
        </w:tc>
      </w:tr>
      <w:tr>
        <w:tblPrEx>
          <w:tblLayout w:type="fixed"/>
          <w:tblCellMar>
            <w:top w:w="0" w:type="dxa"/>
            <w:left w:w="108" w:type="dxa"/>
            <w:bottom w:w="0" w:type="dxa"/>
            <w:right w:w="108" w:type="dxa"/>
          </w:tblCellMar>
        </w:tblPrEx>
        <w:trPr>
          <w:jc w:val="center"/>
        </w:trPr>
        <w:tc>
          <w:tcPr>
            <w:tcW w:w="1753" w:type="dxa"/>
            <w:vMerge w:val="continue"/>
          </w:tcPr>
          <w:p>
            <w:pPr>
              <w:pStyle w:val="17"/>
              <w:widowControl w:val="0"/>
              <w:spacing w:line="360" w:lineRule="auto"/>
              <w:jc w:val="center"/>
              <w:rPr>
                <w:rFonts w:hint="eastAsia"/>
                <w:color w:val="auto"/>
                <w:sz w:val="21"/>
                <w:szCs w:val="21"/>
                <w:lang w:val="en-US" w:eastAsia="zh-CN"/>
              </w:rPr>
            </w:pPr>
          </w:p>
        </w:tc>
        <w:tc>
          <w:tcPr>
            <w:tcW w:w="1049" w:type="dxa"/>
            <w:vMerge w:val="continue"/>
            <w:vAlign w:val="center"/>
          </w:tcPr>
          <w:p>
            <w:pPr>
              <w:pStyle w:val="17"/>
              <w:widowControl w:val="0"/>
              <w:spacing w:line="360" w:lineRule="auto"/>
              <w:jc w:val="center"/>
              <w:rPr>
                <w:rFonts w:hint="eastAsia"/>
                <w:color w:val="auto"/>
                <w:sz w:val="21"/>
                <w:szCs w:val="21"/>
                <w:lang w:val="en-US" w:eastAsia="zh-CN"/>
              </w:rPr>
            </w:pPr>
          </w:p>
        </w:tc>
        <w:tc>
          <w:tcPr>
            <w:tcW w:w="840" w:type="dxa"/>
            <w:vMerge w:val="continue"/>
            <w:vAlign w:val="center"/>
          </w:tcPr>
          <w:p>
            <w:pPr>
              <w:pStyle w:val="17"/>
              <w:widowControl w:val="0"/>
              <w:spacing w:line="360" w:lineRule="auto"/>
              <w:jc w:val="center"/>
              <w:rPr>
                <w:rFonts w:hint="eastAsia"/>
                <w:color w:val="auto"/>
                <w:sz w:val="21"/>
                <w:szCs w:val="21"/>
                <w:lang w:val="en-US" w:eastAsia="zh-CN"/>
              </w:rPr>
            </w:pPr>
          </w:p>
        </w:tc>
        <w:tc>
          <w:tcPr>
            <w:tcW w:w="930" w:type="dxa"/>
            <w:vMerge w:val="continue"/>
          </w:tcPr>
          <w:p>
            <w:pPr>
              <w:pStyle w:val="17"/>
              <w:widowControl w:val="0"/>
              <w:spacing w:line="360" w:lineRule="auto"/>
              <w:jc w:val="center"/>
              <w:rPr>
                <w:rFonts w:hint="eastAsia"/>
                <w:color w:val="auto"/>
                <w:sz w:val="21"/>
                <w:szCs w:val="21"/>
                <w:lang w:val="en-US" w:eastAsia="zh-CN"/>
              </w:rPr>
            </w:pPr>
          </w:p>
        </w:tc>
        <w:tc>
          <w:tcPr>
            <w:tcW w:w="2414" w:type="dxa"/>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中华优秀传统文化类</w:t>
            </w:r>
          </w:p>
        </w:tc>
        <w:tc>
          <w:tcPr>
            <w:tcW w:w="985" w:type="dxa"/>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1学分</w:t>
            </w:r>
          </w:p>
        </w:tc>
      </w:tr>
      <w:tr>
        <w:tblPrEx>
          <w:tblLayout w:type="fixed"/>
          <w:tblCellMar>
            <w:top w:w="0" w:type="dxa"/>
            <w:left w:w="108" w:type="dxa"/>
            <w:bottom w:w="0" w:type="dxa"/>
            <w:right w:w="108" w:type="dxa"/>
          </w:tblCellMar>
        </w:tblPrEx>
        <w:trPr>
          <w:jc w:val="center"/>
        </w:trPr>
        <w:tc>
          <w:tcPr>
            <w:tcW w:w="1753" w:type="dxa"/>
            <w:vMerge w:val="continue"/>
          </w:tcPr>
          <w:p>
            <w:pPr>
              <w:pStyle w:val="17"/>
              <w:widowControl w:val="0"/>
              <w:spacing w:line="360" w:lineRule="auto"/>
              <w:jc w:val="center"/>
              <w:rPr>
                <w:rFonts w:hint="eastAsia"/>
                <w:color w:val="auto"/>
                <w:sz w:val="21"/>
                <w:szCs w:val="21"/>
                <w:lang w:val="en-US" w:eastAsia="zh-CN"/>
              </w:rPr>
            </w:pPr>
          </w:p>
        </w:tc>
        <w:tc>
          <w:tcPr>
            <w:tcW w:w="1049" w:type="dxa"/>
            <w:vMerge w:val="continue"/>
            <w:vAlign w:val="center"/>
          </w:tcPr>
          <w:p>
            <w:pPr>
              <w:pStyle w:val="17"/>
              <w:widowControl w:val="0"/>
              <w:spacing w:line="360" w:lineRule="auto"/>
              <w:jc w:val="center"/>
              <w:rPr>
                <w:rFonts w:hint="eastAsia"/>
                <w:color w:val="auto"/>
                <w:sz w:val="21"/>
                <w:szCs w:val="21"/>
                <w:lang w:val="en-US" w:eastAsia="zh-CN"/>
              </w:rPr>
            </w:pPr>
          </w:p>
        </w:tc>
        <w:tc>
          <w:tcPr>
            <w:tcW w:w="840" w:type="dxa"/>
            <w:vMerge w:val="continue"/>
            <w:vAlign w:val="center"/>
          </w:tcPr>
          <w:p>
            <w:pPr>
              <w:pStyle w:val="17"/>
              <w:widowControl w:val="0"/>
              <w:spacing w:line="360" w:lineRule="auto"/>
              <w:jc w:val="center"/>
              <w:rPr>
                <w:rFonts w:hint="eastAsia"/>
                <w:color w:val="auto"/>
                <w:sz w:val="21"/>
                <w:szCs w:val="21"/>
                <w:lang w:val="en-US" w:eastAsia="zh-CN"/>
              </w:rPr>
            </w:pPr>
          </w:p>
        </w:tc>
        <w:tc>
          <w:tcPr>
            <w:tcW w:w="930" w:type="dxa"/>
            <w:vMerge w:val="continue"/>
          </w:tcPr>
          <w:p>
            <w:pPr>
              <w:pStyle w:val="17"/>
              <w:widowControl w:val="0"/>
              <w:spacing w:line="360" w:lineRule="auto"/>
              <w:jc w:val="center"/>
              <w:rPr>
                <w:rFonts w:hint="eastAsia"/>
                <w:color w:val="auto"/>
                <w:sz w:val="21"/>
                <w:szCs w:val="21"/>
                <w:lang w:val="en-US" w:eastAsia="zh-CN"/>
              </w:rPr>
            </w:pPr>
          </w:p>
        </w:tc>
        <w:tc>
          <w:tcPr>
            <w:tcW w:w="2414" w:type="dxa"/>
          </w:tcPr>
          <w:p>
            <w:pPr>
              <w:pStyle w:val="17"/>
              <w:widowControl w:val="0"/>
              <w:spacing w:line="360" w:lineRule="auto"/>
              <w:jc w:val="center"/>
              <w:rPr>
                <w:rFonts w:hint="default"/>
                <w:color w:val="auto"/>
                <w:sz w:val="21"/>
                <w:szCs w:val="21"/>
                <w:lang w:val="en-US" w:eastAsia="zh-CN"/>
              </w:rPr>
            </w:pPr>
            <w:r>
              <w:rPr>
                <w:rFonts w:hint="eastAsia"/>
                <w:color w:val="auto"/>
                <w:sz w:val="21"/>
                <w:szCs w:val="21"/>
                <w:lang w:val="en-US" w:eastAsia="zh-CN"/>
              </w:rPr>
              <w:t>四史教育</w:t>
            </w:r>
          </w:p>
        </w:tc>
        <w:tc>
          <w:tcPr>
            <w:tcW w:w="985" w:type="dxa"/>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1学分</w:t>
            </w:r>
          </w:p>
        </w:tc>
      </w:tr>
      <w:tr>
        <w:tblPrEx>
          <w:tblLayout w:type="fixed"/>
          <w:tblCellMar>
            <w:top w:w="0" w:type="dxa"/>
            <w:left w:w="108" w:type="dxa"/>
            <w:bottom w:w="0" w:type="dxa"/>
            <w:right w:w="108" w:type="dxa"/>
          </w:tblCellMar>
        </w:tblPrEx>
        <w:trPr>
          <w:jc w:val="center"/>
        </w:trPr>
        <w:tc>
          <w:tcPr>
            <w:tcW w:w="1753" w:type="dxa"/>
            <w:vMerge w:val="continue"/>
          </w:tcPr>
          <w:p>
            <w:pPr>
              <w:pStyle w:val="17"/>
              <w:widowControl w:val="0"/>
              <w:spacing w:line="360" w:lineRule="auto"/>
              <w:jc w:val="center"/>
              <w:rPr>
                <w:rFonts w:hint="eastAsia"/>
                <w:color w:val="auto"/>
                <w:sz w:val="21"/>
                <w:szCs w:val="21"/>
                <w:lang w:val="en-US" w:eastAsia="zh-CN"/>
              </w:rPr>
            </w:pPr>
          </w:p>
        </w:tc>
        <w:tc>
          <w:tcPr>
            <w:tcW w:w="1049" w:type="dxa"/>
            <w:vMerge w:val="continue"/>
            <w:vAlign w:val="center"/>
          </w:tcPr>
          <w:p>
            <w:pPr>
              <w:pStyle w:val="17"/>
              <w:widowControl w:val="0"/>
              <w:spacing w:line="360" w:lineRule="auto"/>
              <w:jc w:val="center"/>
              <w:rPr>
                <w:rFonts w:hint="eastAsia"/>
                <w:color w:val="auto"/>
                <w:sz w:val="21"/>
                <w:szCs w:val="21"/>
                <w:lang w:val="en-US" w:eastAsia="zh-CN"/>
              </w:rPr>
            </w:pPr>
          </w:p>
        </w:tc>
        <w:tc>
          <w:tcPr>
            <w:tcW w:w="840" w:type="dxa"/>
            <w:vMerge w:val="continue"/>
            <w:vAlign w:val="center"/>
          </w:tcPr>
          <w:p>
            <w:pPr>
              <w:pStyle w:val="17"/>
              <w:widowControl w:val="0"/>
              <w:spacing w:line="360" w:lineRule="auto"/>
              <w:jc w:val="center"/>
              <w:rPr>
                <w:rFonts w:hint="eastAsia"/>
                <w:color w:val="auto"/>
                <w:sz w:val="21"/>
                <w:szCs w:val="21"/>
                <w:lang w:val="en-US" w:eastAsia="zh-CN"/>
              </w:rPr>
            </w:pPr>
          </w:p>
        </w:tc>
        <w:tc>
          <w:tcPr>
            <w:tcW w:w="930" w:type="dxa"/>
            <w:vMerge w:val="continue"/>
          </w:tcPr>
          <w:p>
            <w:pPr>
              <w:pStyle w:val="17"/>
              <w:widowControl w:val="0"/>
              <w:spacing w:line="360" w:lineRule="auto"/>
              <w:jc w:val="center"/>
              <w:rPr>
                <w:rFonts w:hint="eastAsia"/>
                <w:color w:val="auto"/>
                <w:sz w:val="21"/>
                <w:szCs w:val="21"/>
                <w:lang w:val="en-US" w:eastAsia="zh-CN"/>
              </w:rPr>
            </w:pPr>
          </w:p>
        </w:tc>
        <w:tc>
          <w:tcPr>
            <w:tcW w:w="2414" w:type="dxa"/>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其他限选课</w:t>
            </w:r>
          </w:p>
        </w:tc>
        <w:tc>
          <w:tcPr>
            <w:tcW w:w="985" w:type="dxa"/>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10学分</w:t>
            </w:r>
          </w:p>
        </w:tc>
      </w:tr>
      <w:tr>
        <w:tblPrEx>
          <w:tblLayout w:type="fixed"/>
          <w:tblCellMar>
            <w:top w:w="0" w:type="dxa"/>
            <w:left w:w="108" w:type="dxa"/>
            <w:bottom w:w="0" w:type="dxa"/>
            <w:right w:w="108" w:type="dxa"/>
          </w:tblCellMar>
        </w:tblPrEx>
        <w:trPr>
          <w:jc w:val="center"/>
        </w:trPr>
        <w:tc>
          <w:tcPr>
            <w:tcW w:w="1753" w:type="dxa"/>
            <w:vMerge w:val="continue"/>
          </w:tcPr>
          <w:p>
            <w:pPr>
              <w:pStyle w:val="17"/>
              <w:widowControl w:val="0"/>
              <w:spacing w:line="360" w:lineRule="auto"/>
              <w:jc w:val="center"/>
              <w:rPr>
                <w:rFonts w:hint="eastAsia"/>
                <w:color w:val="auto"/>
                <w:sz w:val="21"/>
                <w:szCs w:val="21"/>
                <w:lang w:val="en-US" w:eastAsia="zh-CN"/>
              </w:rPr>
            </w:pPr>
          </w:p>
        </w:tc>
        <w:tc>
          <w:tcPr>
            <w:tcW w:w="1049" w:type="dxa"/>
            <w:vMerge w:val="continue"/>
            <w:vAlign w:val="center"/>
          </w:tcPr>
          <w:p>
            <w:pPr>
              <w:pStyle w:val="17"/>
              <w:widowControl w:val="0"/>
              <w:spacing w:line="360" w:lineRule="auto"/>
              <w:jc w:val="center"/>
              <w:rPr>
                <w:rFonts w:hint="eastAsia"/>
                <w:color w:val="auto"/>
                <w:sz w:val="21"/>
                <w:szCs w:val="21"/>
                <w:lang w:val="en-US" w:eastAsia="zh-CN"/>
              </w:rPr>
            </w:pPr>
          </w:p>
        </w:tc>
        <w:tc>
          <w:tcPr>
            <w:tcW w:w="840" w:type="dxa"/>
            <w:vAlign w:val="center"/>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任选</w:t>
            </w:r>
          </w:p>
        </w:tc>
        <w:tc>
          <w:tcPr>
            <w:tcW w:w="4329" w:type="dxa"/>
            <w:gridSpan w:val="3"/>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2学分</w:t>
            </w:r>
          </w:p>
        </w:tc>
      </w:tr>
      <w:tr>
        <w:tblPrEx>
          <w:tblLayout w:type="fixed"/>
          <w:tblCellMar>
            <w:top w:w="0" w:type="dxa"/>
            <w:left w:w="108" w:type="dxa"/>
            <w:bottom w:w="0" w:type="dxa"/>
            <w:right w:w="108" w:type="dxa"/>
          </w:tblCellMar>
        </w:tblPrEx>
        <w:trPr>
          <w:trHeight w:val="336" w:hRule="atLeast"/>
          <w:jc w:val="center"/>
        </w:trPr>
        <w:tc>
          <w:tcPr>
            <w:tcW w:w="1753" w:type="dxa"/>
            <w:vMerge w:val="restart"/>
            <w:vAlign w:val="center"/>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专业选修课最低学分要求</w:t>
            </w:r>
          </w:p>
        </w:tc>
        <w:tc>
          <w:tcPr>
            <w:tcW w:w="1049" w:type="dxa"/>
            <w:vMerge w:val="restart"/>
            <w:vAlign w:val="center"/>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8学分</w:t>
            </w:r>
          </w:p>
        </w:tc>
        <w:tc>
          <w:tcPr>
            <w:tcW w:w="840" w:type="dxa"/>
            <w:vAlign w:val="center"/>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限选</w:t>
            </w:r>
          </w:p>
        </w:tc>
        <w:tc>
          <w:tcPr>
            <w:tcW w:w="4329" w:type="dxa"/>
            <w:gridSpan w:val="3"/>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6学分</w:t>
            </w:r>
          </w:p>
        </w:tc>
      </w:tr>
      <w:tr>
        <w:tblPrEx>
          <w:tblLayout w:type="fixed"/>
          <w:tblCellMar>
            <w:top w:w="0" w:type="dxa"/>
            <w:left w:w="108" w:type="dxa"/>
            <w:bottom w:w="0" w:type="dxa"/>
            <w:right w:w="108" w:type="dxa"/>
          </w:tblCellMar>
        </w:tblPrEx>
        <w:trPr>
          <w:jc w:val="center"/>
        </w:trPr>
        <w:tc>
          <w:tcPr>
            <w:tcW w:w="1753" w:type="dxa"/>
            <w:vMerge w:val="continue"/>
          </w:tcPr>
          <w:p>
            <w:pPr>
              <w:pStyle w:val="17"/>
              <w:widowControl w:val="0"/>
              <w:spacing w:line="360" w:lineRule="auto"/>
              <w:jc w:val="center"/>
              <w:rPr>
                <w:rFonts w:hint="eastAsia"/>
                <w:color w:val="auto"/>
                <w:sz w:val="21"/>
                <w:szCs w:val="21"/>
                <w:lang w:val="en-US" w:eastAsia="zh-CN"/>
              </w:rPr>
            </w:pPr>
          </w:p>
        </w:tc>
        <w:tc>
          <w:tcPr>
            <w:tcW w:w="1049" w:type="dxa"/>
            <w:vMerge w:val="continue"/>
          </w:tcPr>
          <w:p>
            <w:pPr>
              <w:pStyle w:val="17"/>
              <w:widowControl w:val="0"/>
              <w:spacing w:line="360" w:lineRule="auto"/>
              <w:jc w:val="center"/>
              <w:rPr>
                <w:rFonts w:hint="eastAsia"/>
                <w:color w:val="auto"/>
                <w:sz w:val="21"/>
                <w:szCs w:val="21"/>
                <w:lang w:val="en-US" w:eastAsia="zh-CN"/>
              </w:rPr>
            </w:pPr>
          </w:p>
        </w:tc>
        <w:tc>
          <w:tcPr>
            <w:tcW w:w="840" w:type="dxa"/>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任选</w:t>
            </w:r>
          </w:p>
        </w:tc>
        <w:tc>
          <w:tcPr>
            <w:tcW w:w="4329" w:type="dxa"/>
            <w:gridSpan w:val="3"/>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2学分</w:t>
            </w:r>
          </w:p>
        </w:tc>
      </w:tr>
      <w:tr>
        <w:tblPrEx>
          <w:tblLayout w:type="fixed"/>
          <w:tblCellMar>
            <w:top w:w="0" w:type="dxa"/>
            <w:left w:w="108" w:type="dxa"/>
            <w:bottom w:w="0" w:type="dxa"/>
            <w:right w:w="108" w:type="dxa"/>
          </w:tblCellMar>
        </w:tblPrEx>
        <w:trPr>
          <w:jc w:val="center"/>
        </w:trPr>
        <w:tc>
          <w:tcPr>
            <w:tcW w:w="1753" w:type="dxa"/>
            <w:vMerge w:val="restart"/>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创新创业选修课最低学分要求</w:t>
            </w:r>
          </w:p>
        </w:tc>
        <w:tc>
          <w:tcPr>
            <w:tcW w:w="1049" w:type="dxa"/>
            <w:vMerge w:val="restart"/>
            <w:vAlign w:val="center"/>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5学分</w:t>
            </w:r>
          </w:p>
        </w:tc>
        <w:tc>
          <w:tcPr>
            <w:tcW w:w="840" w:type="dxa"/>
            <w:vAlign w:val="center"/>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限选</w:t>
            </w:r>
          </w:p>
        </w:tc>
        <w:tc>
          <w:tcPr>
            <w:tcW w:w="4329" w:type="dxa"/>
            <w:gridSpan w:val="3"/>
            <w:vAlign w:val="top"/>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3学分</w:t>
            </w:r>
          </w:p>
        </w:tc>
      </w:tr>
      <w:tr>
        <w:tblPrEx>
          <w:tblLayout w:type="fixed"/>
          <w:tblCellMar>
            <w:top w:w="0" w:type="dxa"/>
            <w:left w:w="108" w:type="dxa"/>
            <w:bottom w:w="0" w:type="dxa"/>
            <w:right w:w="108" w:type="dxa"/>
          </w:tblCellMar>
        </w:tblPrEx>
        <w:trPr>
          <w:trHeight w:val="476" w:hRule="atLeast"/>
          <w:jc w:val="center"/>
        </w:trPr>
        <w:tc>
          <w:tcPr>
            <w:tcW w:w="1753" w:type="dxa"/>
            <w:vMerge w:val="continue"/>
          </w:tcPr>
          <w:p>
            <w:pPr>
              <w:pStyle w:val="17"/>
              <w:widowControl w:val="0"/>
              <w:spacing w:line="360" w:lineRule="auto"/>
              <w:jc w:val="center"/>
              <w:rPr>
                <w:rFonts w:hint="eastAsia"/>
                <w:color w:val="auto"/>
                <w:sz w:val="21"/>
                <w:szCs w:val="21"/>
                <w:lang w:val="en-US" w:eastAsia="zh-CN"/>
              </w:rPr>
            </w:pPr>
          </w:p>
        </w:tc>
        <w:tc>
          <w:tcPr>
            <w:tcW w:w="1049" w:type="dxa"/>
            <w:vMerge w:val="continue"/>
            <w:vAlign w:val="top"/>
          </w:tcPr>
          <w:p>
            <w:pPr>
              <w:pStyle w:val="17"/>
              <w:widowControl w:val="0"/>
              <w:spacing w:line="360" w:lineRule="auto"/>
              <w:jc w:val="center"/>
              <w:rPr>
                <w:rFonts w:hint="eastAsia"/>
                <w:color w:val="auto"/>
                <w:sz w:val="21"/>
                <w:szCs w:val="21"/>
                <w:lang w:val="en-US" w:eastAsia="zh-CN"/>
              </w:rPr>
            </w:pPr>
          </w:p>
        </w:tc>
        <w:tc>
          <w:tcPr>
            <w:tcW w:w="840" w:type="dxa"/>
            <w:vAlign w:val="center"/>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任选</w:t>
            </w:r>
          </w:p>
        </w:tc>
        <w:tc>
          <w:tcPr>
            <w:tcW w:w="4329" w:type="dxa"/>
            <w:gridSpan w:val="3"/>
            <w:vAlign w:val="center"/>
          </w:tcPr>
          <w:p>
            <w:pPr>
              <w:pStyle w:val="17"/>
              <w:widowControl w:val="0"/>
              <w:spacing w:line="360" w:lineRule="auto"/>
              <w:jc w:val="center"/>
              <w:rPr>
                <w:rFonts w:hint="eastAsia"/>
                <w:color w:val="auto"/>
                <w:sz w:val="21"/>
                <w:szCs w:val="21"/>
                <w:lang w:val="en-US" w:eastAsia="zh-CN"/>
              </w:rPr>
            </w:pPr>
            <w:r>
              <w:rPr>
                <w:rFonts w:hint="eastAsia"/>
                <w:color w:val="auto"/>
                <w:sz w:val="21"/>
                <w:szCs w:val="21"/>
                <w:lang w:val="en-US" w:eastAsia="zh-CN"/>
              </w:rPr>
              <w:t>双创任选项目：2学分</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2.需获得相关能力证书</w:t>
      </w:r>
    </w:p>
    <w:tbl>
      <w:tblPr>
        <w:tblStyle w:val="15"/>
        <w:tblW w:w="82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287"/>
        <w:gridCol w:w="1891"/>
        <w:gridCol w:w="1062"/>
        <w:gridCol w:w="1366"/>
        <w:gridCol w:w="809"/>
      </w:tblGrid>
      <w:tr>
        <w:tblPrEx>
          <w:tblLayout w:type="fixed"/>
          <w:tblCellMar>
            <w:top w:w="0" w:type="dxa"/>
            <w:left w:w="108" w:type="dxa"/>
            <w:bottom w:w="0" w:type="dxa"/>
            <w:right w:w="108" w:type="dxa"/>
          </w:tblCellMar>
        </w:tblPrEx>
        <w:trPr>
          <w:trHeight w:val="746" w:hRule="exact"/>
          <w:tblHeader/>
          <w:jc w:val="center"/>
        </w:trPr>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证书类型</w:t>
            </w:r>
          </w:p>
        </w:tc>
        <w:tc>
          <w:tcPr>
            <w:tcW w:w="22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证书名称</w:t>
            </w:r>
          </w:p>
        </w:tc>
        <w:tc>
          <w:tcPr>
            <w:tcW w:w="18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颁证机构</w:t>
            </w:r>
          </w:p>
        </w:tc>
        <w:tc>
          <w:tcPr>
            <w:tcW w:w="10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取证要求</w:t>
            </w:r>
          </w:p>
        </w:tc>
        <w:tc>
          <w:tcPr>
            <w:tcW w:w="13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主要支撑课程</w:t>
            </w:r>
          </w:p>
        </w:tc>
        <w:tc>
          <w:tcPr>
            <w:tcW w:w="8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建议获取时间</w:t>
            </w:r>
          </w:p>
        </w:tc>
      </w:tr>
      <w:tr>
        <w:tblPrEx>
          <w:tblLayout w:type="fixed"/>
          <w:tblCellMar>
            <w:top w:w="0" w:type="dxa"/>
            <w:left w:w="108" w:type="dxa"/>
            <w:bottom w:w="0" w:type="dxa"/>
            <w:right w:w="108" w:type="dxa"/>
          </w:tblCellMar>
        </w:tblPrEx>
        <w:trPr>
          <w:trHeight w:val="851" w:hRule="exact"/>
          <w:jc w:val="center"/>
        </w:trPr>
        <w:tc>
          <w:tcPr>
            <w:tcW w:w="877" w:type="dxa"/>
            <w:vMerge w:val="restart"/>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语言类</w:t>
            </w:r>
          </w:p>
        </w:tc>
        <w:tc>
          <w:tcPr>
            <w:tcW w:w="2287"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普通话水平</w:t>
            </w:r>
          </w:p>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测试等级证书</w:t>
            </w:r>
          </w:p>
        </w:tc>
        <w:tc>
          <w:tcPr>
            <w:tcW w:w="1891"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国家语委普通话与文字应用培训测试中心</w:t>
            </w:r>
          </w:p>
        </w:tc>
        <w:tc>
          <w:tcPr>
            <w:tcW w:w="1062"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必须获取</w:t>
            </w:r>
          </w:p>
        </w:tc>
        <w:tc>
          <w:tcPr>
            <w:tcW w:w="1366"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大学语文</w:t>
            </w:r>
          </w:p>
        </w:tc>
        <w:tc>
          <w:tcPr>
            <w:tcW w:w="809"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第3学期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877" w:type="dxa"/>
            <w:vMerge w:val="continue"/>
            <w:vAlign w:val="center"/>
          </w:tcPr>
          <w:p>
            <w:pPr>
              <w:widowControl/>
              <w:jc w:val="center"/>
              <w:rPr>
                <w:rFonts w:hint="eastAsia" w:ascii="宋体" w:hAnsi="宋体" w:eastAsia="宋体" w:cs="宋体"/>
                <w:kern w:val="0"/>
                <w:sz w:val="18"/>
                <w:szCs w:val="18"/>
                <w:lang w:val="en-US" w:eastAsia="zh-CN"/>
              </w:rPr>
            </w:pPr>
          </w:p>
        </w:tc>
        <w:tc>
          <w:tcPr>
            <w:tcW w:w="2287" w:type="dxa"/>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中国少数民族汉语水平等级考试三级（MHK三级）</w:t>
            </w:r>
          </w:p>
        </w:tc>
        <w:tc>
          <w:tcPr>
            <w:tcW w:w="1891" w:type="dxa"/>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中国少数民族汉语水平等级考试委员会办公室</w:t>
            </w:r>
          </w:p>
        </w:tc>
        <w:tc>
          <w:tcPr>
            <w:tcW w:w="1062"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必须获取（少数民族）</w:t>
            </w:r>
          </w:p>
        </w:tc>
        <w:tc>
          <w:tcPr>
            <w:tcW w:w="1366"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大学语文</w:t>
            </w:r>
          </w:p>
        </w:tc>
        <w:tc>
          <w:tcPr>
            <w:tcW w:w="809"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第2学期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exact"/>
          <w:jc w:val="center"/>
        </w:trPr>
        <w:tc>
          <w:tcPr>
            <w:tcW w:w="8292" w:type="dxa"/>
            <w:gridSpan w:val="6"/>
            <w:vAlign w:val="center"/>
          </w:tcPr>
          <w:p>
            <w:pPr>
              <w:widowControl/>
              <w:jc w:val="center"/>
              <w:rPr>
                <w:rFonts w:hint="default" w:ascii="宋体" w:hAnsi="宋体" w:eastAsia="宋体" w:cs="宋体"/>
                <w:kern w:val="0"/>
                <w:sz w:val="18"/>
                <w:szCs w:val="18"/>
                <w:lang w:val="en-US" w:eastAsia="zh-CN"/>
              </w:rPr>
            </w:pPr>
            <w:bookmarkStart w:id="15" w:name="_Toc14343077"/>
            <w:r>
              <w:rPr>
                <w:rFonts w:hint="eastAsia" w:ascii="宋体" w:hAnsi="宋体" w:eastAsia="宋体" w:cs="宋体"/>
                <w:kern w:val="0"/>
                <w:sz w:val="18"/>
                <w:szCs w:val="18"/>
                <w:lang w:val="en-US" w:eastAsia="zh-CN"/>
              </w:rPr>
              <w:t>备注：少数民族学生取得MHK三级证书或普通话证书，汉族学生需取得普通话证书</w:t>
            </w:r>
          </w:p>
        </w:tc>
      </w:tr>
    </w:tbl>
    <w:p>
      <w:pPr>
        <w:pStyle w:val="3"/>
        <w:spacing w:before="0" w:after="0" w:line="360" w:lineRule="auto"/>
        <w:ind w:firstLine="157" w:firstLineChars="49"/>
        <w:rPr>
          <w:rFonts w:hint="eastAsia" w:ascii="黑体" w:hAnsi="黑体" w:eastAsia="黑体"/>
          <w:sz w:val="32"/>
          <w:szCs w:val="36"/>
          <w:lang w:val="en-US" w:eastAsia="zh-CN"/>
        </w:rPr>
      </w:pPr>
      <w:r>
        <w:rPr>
          <w:rFonts w:hint="eastAsia" w:ascii="黑体" w:hAnsi="黑体" w:eastAsia="黑体"/>
          <w:sz w:val="32"/>
          <w:szCs w:val="36"/>
          <w:lang w:val="en-US" w:eastAsia="zh-CN"/>
        </w:rPr>
        <w:t>十、其他说明</w:t>
      </w:r>
      <w:bookmarkEnd w:id="15"/>
    </w:p>
    <w:p>
      <w:pPr>
        <w:pStyle w:val="1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1.本方案依据《新疆应用职业技术学院关于制订2023级高职专业人才培养方案的指导性意见》编制。</w:t>
      </w:r>
    </w:p>
    <w:p>
      <w:pPr>
        <w:pStyle w:val="1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方案中的课程开课学期为建议性，在制定教学计划时可根据实际需要进行调整，但应考虑到具体课程的前后顺序，保证课程内容的良好衔接；对课程课时和学分，在必要的情况下，也可做适当调整；应加强本专业有关的工程技术和实践能力的培养，因此在制定教学计划时需要注意实践性课程学时不得低于总学时的50%。</w:t>
      </w:r>
    </w:p>
    <w:p>
      <w:pPr>
        <w:pStyle w:val="1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3.为适应医疗卫生行业和临床护理技术的快速发展，在专业课程的学习内容中应及时更新和补充相关新技术、新工艺等内容。</w:t>
      </w:r>
    </w:p>
    <w:p>
      <w:pPr>
        <w:pStyle w:val="1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4.本方案适用2023、2024级学生。</w:t>
      </w:r>
    </w:p>
    <w:p>
      <w:pPr>
        <w:pStyle w:val="3"/>
        <w:spacing w:before="0" w:after="0" w:line="360" w:lineRule="auto"/>
        <w:ind w:firstLine="157" w:firstLineChars="49"/>
        <w:rPr>
          <w:rFonts w:hint="eastAsia" w:ascii="黑体" w:hAnsi="黑体" w:eastAsia="黑体"/>
          <w:sz w:val="32"/>
          <w:szCs w:val="36"/>
          <w:lang w:val="en-US" w:eastAsia="zh-CN"/>
        </w:rPr>
      </w:pPr>
      <w:r>
        <w:rPr>
          <w:rFonts w:hint="eastAsia" w:ascii="黑体" w:hAnsi="黑体" w:eastAsia="黑体"/>
          <w:sz w:val="32"/>
          <w:szCs w:val="36"/>
          <w:lang w:val="en-US" w:eastAsia="zh-CN"/>
        </w:rPr>
        <w:t>十一、附录</w:t>
      </w:r>
    </w:p>
    <w:p>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附表一：教学进程表、教学时间分配表</w:t>
      </w:r>
    </w:p>
    <w:p>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附表二：护理专业人才培养实施保障</w:t>
      </w:r>
    </w:p>
    <w:p>
      <w:pPr>
        <w:keepNext w:val="0"/>
        <w:keepLines w:val="0"/>
        <w:pageBreakBefore w:val="0"/>
        <w:widowControl w:val="0"/>
        <w:kinsoku/>
        <w:wordWrap/>
        <w:overflowPunct/>
        <w:topLinePunct w:val="0"/>
        <w:autoSpaceDE/>
        <w:autoSpaceDN/>
        <w:bidi w:val="0"/>
        <w:adjustRightInd/>
        <w:snapToGrid/>
        <w:spacing w:line="500" w:lineRule="atLeast"/>
        <w:ind w:firstLine="555"/>
        <w:textAlignment w:val="auto"/>
        <w:rPr>
          <w:rFonts w:ascii="宋体" w:hAnsi="宋体" w:eastAsia="宋体"/>
          <w:color w:val="000000"/>
          <w:szCs w:val="21"/>
        </w:rPr>
      </w:pPr>
    </w:p>
    <w:p>
      <w:pPr>
        <w:keepNext w:val="0"/>
        <w:keepLines w:val="0"/>
        <w:pageBreakBefore w:val="0"/>
        <w:widowControl w:val="0"/>
        <w:kinsoku/>
        <w:wordWrap/>
        <w:overflowPunct/>
        <w:topLinePunct w:val="0"/>
        <w:autoSpaceDE/>
        <w:autoSpaceDN/>
        <w:bidi w:val="0"/>
        <w:adjustRightInd/>
        <w:snapToGrid/>
        <w:spacing w:line="500" w:lineRule="atLeast"/>
        <w:ind w:right="560" w:firstLine="4900" w:firstLineChars="1750"/>
        <w:textAlignment w:val="auto"/>
        <w:rPr>
          <w:rFonts w:hint="default" w:ascii="楷体" w:hAnsi="楷体" w:eastAsia="楷体"/>
          <w:color w:val="000000"/>
          <w:sz w:val="28"/>
          <w:szCs w:val="28"/>
          <w:lang w:val="en-US" w:eastAsia="zh-CN"/>
        </w:rPr>
      </w:pPr>
      <w:r>
        <w:rPr>
          <w:rFonts w:ascii="楷体" w:hAnsi="楷体" w:eastAsia="楷体"/>
          <w:color w:val="000000"/>
          <w:sz w:val="28"/>
          <w:szCs w:val="28"/>
        </w:rPr>
        <w:t xml:space="preserve">                                   </w:t>
      </w:r>
    </w:p>
    <w:p>
      <w:pPr>
        <w:pStyle w:val="1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000000"/>
          <w:kern w:val="2"/>
          <w:sz w:val="28"/>
          <w:szCs w:val="28"/>
          <w:lang w:val="en-US" w:eastAsia="zh-CN" w:bidi="ar-SA"/>
        </w:rPr>
      </w:pPr>
    </w:p>
    <w:sectPr>
      <w:footerReference r:id="rId4" w:type="default"/>
      <w:footerReference r:id="rId5" w:type="even"/>
      <w:pgSz w:w="11906" w:h="16838"/>
      <w:pgMar w:top="2098" w:right="1531" w:bottom="1984" w:left="1531" w:header="851" w:footer="992" w:gutter="0"/>
      <w:pgBorders>
        <w:top w:val="none" w:color="auto" w:sz="0" w:space="0"/>
        <w:left w:val="none" w:color="auto" w:sz="0" w:space="0"/>
        <w:bottom w:val="none" w:color="auto" w:sz="0" w:space="0"/>
        <w:right w:val="none" w:color="auto"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embedRegular r:id="rId1" w:fontKey="{BE7EF1D4-D382-5410-E1F1-C96422C0CC41}"/>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9" w:usb3="00000000" w:csb0="200001FF" w:csb1="00000000"/>
  </w:font>
  <w:font w:name="等线">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0" w:usb1="00000000" w:usb2="00000000" w:usb3="00000000" w:csb0="00040000" w:csb1="00000000"/>
    <w:embedRegular r:id="rId2" w:fontKey="{675E3D2C-8986-CF81-E1F1-C964A612D0F6}"/>
  </w:font>
  <w:font w:name="仿宋_GB2312">
    <w:panose1 w:val="02010609030101010101"/>
    <w:charset w:val="86"/>
    <w:family w:val="auto"/>
    <w:pitch w:val="default"/>
    <w:sig w:usb0="00000000" w:usb1="00000000" w:usb2="00000000" w:usb3="00000000" w:csb0="00040000" w:csb1="00000000"/>
    <w:embedRegular r:id="rId3" w:fontKey="{3EFF6F32-2C5E-E801-E1F1-C9642FD6F23F}"/>
  </w:font>
  <w:font w:name="楷体">
    <w:panose1 w:val="02010609060101010101"/>
    <w:charset w:val="86"/>
    <w:family w:val="auto"/>
    <w:pitch w:val="default"/>
    <w:sig w:usb0="00000000" w:usb1="00000000" w:usb2="00000016" w:usb3="00000000" w:csb0="00040001" w:csb1="00000000"/>
    <w:embedRegular r:id="rId4" w:fontKey="{D508F5C0-9927-D824-E1F1-C964CE5637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90782927"/>
                          </w:sdtPr>
                          <w:sdtContent>
                            <w:p>
                              <w:pPr>
                                <w:pStyle w:val="6"/>
                                <w:jc w:val="cente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sdtContent>
                        </w:sdt>
                        <w:p>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AA&#10;">
              <v:fill on="f" focussize="0,0"/>
              <v:stroke on="f" weight="0.5pt"/>
              <v:imagedata o:title=""/>
              <o:lock v:ext="edit" aspectratio="f"/>
              <v:textbox inset="0mm,0mm,0mm,0mm" style="mso-fit-shape-to-text:t;">
                <w:txbxContent>
                  <w:sdt>
                    <w:sdtPr>
                      <w:id w:val="-1090782927"/>
                    </w:sdtPr>
                    <w:sdtContent>
                      <w:p>
                        <w:pPr>
                          <w:pStyle w:val="6"/>
                          <w:jc w:val="cente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sdtContent>
                  </w:sdt>
                  <w:p>
                    <w:pPr/>
                  </w:p>
                </w:txbxContent>
              </v:textbox>
            </v:shape>
          </w:pict>
        </mc:Fallback>
      </mc:AlternateContent>
    </w:r>
  </w:p>
  <w:p>
    <w:pPr>
      <w:pStyle w:val="6"/>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p>
    <w:pPr>
      <w:pStyle w:val="6"/>
      <w:rPr>
        <w:rFonts w:hint="eastAsia" w:ascii="宋体" w:hAnsi="宋体" w:eastAsia="宋体" w:cs="宋体"/>
        <w:sz w:val="28"/>
        <w:szCs w:val="28"/>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pPr>
      <w:r>
        <w:rPr>
          <w:rStyle w:val="14"/>
        </w:rPr>
        <w:footnoteRef/>
      </w:r>
      <w:r>
        <w:t xml:space="preserve"> </w:t>
      </w:r>
      <w:r>
        <w:rPr>
          <w:rFonts w:hint="eastAsia"/>
        </w:rPr>
        <w:t>有教育部颁布</w:t>
      </w:r>
      <w:r>
        <w:t>的专业</w:t>
      </w:r>
      <w:r>
        <w:rPr>
          <w:rFonts w:hint="eastAsia"/>
        </w:rPr>
        <w:t>教学标准的</w:t>
      </w:r>
      <w:r>
        <w:t>，参照标准，结合自身专业</w:t>
      </w:r>
      <w:r>
        <w:rPr>
          <w:rFonts w:hint="eastAsia"/>
        </w:rPr>
        <w:t>调研情况拟定</w:t>
      </w:r>
      <w:r>
        <w:t>，不得低于部</w:t>
      </w:r>
      <w:r>
        <w:rPr>
          <w:rFonts w:hint="eastAsia"/>
        </w:rPr>
        <w:t>颁</w:t>
      </w:r>
      <w:r>
        <w:t>标准</w:t>
      </w:r>
      <w:r>
        <w:rPr>
          <w:rFonts w:hint="eastAsia"/>
        </w:rPr>
        <w:t>；</w:t>
      </w:r>
      <w:r>
        <w:t>如无</w:t>
      </w:r>
      <w:r>
        <w:rPr>
          <w:rFonts w:hint="eastAsia"/>
        </w:rPr>
        <w:t>部</w:t>
      </w:r>
      <w:r>
        <w:t>颁标准，请</w:t>
      </w:r>
      <w:r>
        <w:rPr>
          <w:rFonts w:hint="eastAsia"/>
        </w:rPr>
        <w:t>根据专业</w:t>
      </w:r>
      <w:r>
        <w:t>调研情况，自行拟定</w:t>
      </w:r>
      <w:r>
        <w:rPr>
          <w:rFonts w:hint="eastAsia"/>
        </w:rPr>
        <w:t>。</w:t>
      </w:r>
    </w:p>
  </w:footnote>
  <w:footnote w:id="1">
    <w:p>
      <w:pPr>
        <w:pStyle w:val="8"/>
        <w:rPr>
          <w:rFonts w:hint="eastAsia" w:eastAsiaTheme="minorEastAsia"/>
          <w:lang w:eastAsia="zh-CN"/>
        </w:rPr>
      </w:pPr>
      <w:r>
        <w:rPr>
          <w:rStyle w:val="14"/>
        </w:rPr>
        <w:footnoteRef/>
      </w:r>
      <w:r>
        <w:t xml:space="preserve"> </w:t>
      </w:r>
      <w:r>
        <w:rPr>
          <w:rFonts w:hint="eastAsia"/>
        </w:rPr>
        <w:t>GB/T4754-2017</w:t>
      </w:r>
      <w:r>
        <w:t xml:space="preserve"> </w:t>
      </w:r>
      <w:r>
        <w:rPr>
          <w:rFonts w:hint="eastAsia"/>
        </w:rPr>
        <w:t>国民经济行业分类（中华人民共和国国家标准）</w:t>
      </w:r>
      <w:r>
        <w:rPr>
          <w:rFonts w:hint="eastAsia"/>
          <w:lang w:eastAsia="zh-CN"/>
        </w:rPr>
        <w:t>。</w:t>
      </w:r>
    </w:p>
  </w:footnote>
  <w:footnote w:id="2">
    <w:p>
      <w:pPr>
        <w:pStyle w:val="8"/>
        <w:rPr>
          <w:rFonts w:hint="eastAsia"/>
        </w:rPr>
      </w:pPr>
      <w:r>
        <w:rPr>
          <w:rStyle w:val="14"/>
        </w:rPr>
        <w:footnoteRef/>
      </w:r>
      <w:r>
        <w:t xml:space="preserve"> </w:t>
      </w:r>
      <w:r>
        <w:rPr>
          <w:rFonts w:hint="eastAsia"/>
        </w:rPr>
        <w:t>从中国职业</w:t>
      </w:r>
      <w:r>
        <w:rPr>
          <w:rFonts w:hint="eastAsia"/>
          <w:lang w:eastAsia="zh-CN"/>
        </w:rPr>
        <w:t>分类</w:t>
      </w:r>
      <w:r>
        <w:rPr>
          <w:rFonts w:hint="eastAsia"/>
        </w:rPr>
        <w:t>大典中选择</w:t>
      </w:r>
      <w:r>
        <w:rPr>
          <w:rFonts w:hint="eastAsia"/>
          <w:lang w:eastAsia="zh-CN"/>
        </w:rPr>
        <w:t>，可从</w:t>
      </w:r>
      <w:r>
        <w:rPr>
          <w:rFonts w:hint="eastAsia"/>
        </w:rPr>
        <w:fldChar w:fldCharType="begin"/>
      </w:r>
      <w:r>
        <w:rPr>
          <w:rFonts w:hint="eastAsia"/>
        </w:rPr>
        <w:instrText xml:space="preserve"> HYPERLINK "http://www.osta.org.cn/fenlei.html" </w:instrText>
      </w:r>
      <w:r>
        <w:rPr>
          <w:rFonts w:hint="eastAsia"/>
        </w:rPr>
        <w:fldChar w:fldCharType="separate"/>
      </w:r>
      <w:r>
        <w:rPr>
          <w:rFonts w:hint="eastAsia"/>
        </w:rPr>
        <w:t>职业分类系统</w:t>
      </w:r>
      <w:r>
        <w:rPr>
          <w:rFonts w:hint="eastAsia"/>
        </w:rPr>
        <w:fldChar w:fldCharType="end"/>
      </w:r>
      <w:r>
        <w:rPr>
          <w:rFonts w:hint="eastAsia"/>
          <w:lang w:val="en-US" w:eastAsia="zh-CN"/>
        </w:rPr>
        <w:t>(</w:t>
      </w:r>
      <w:r>
        <w:rPr>
          <w:rFonts w:hint="eastAsia"/>
        </w:rPr>
        <w:t>osta.org.cn/fenlei.html</w:t>
      </w:r>
      <w:r>
        <w:rPr>
          <w:rFonts w:hint="eastAsia"/>
          <w:lang w:val="en-US" w:eastAsia="zh-CN"/>
        </w:rPr>
        <w:t>)</w:t>
      </w:r>
      <w:r>
        <w:rPr>
          <w:rFonts w:hint="eastAsia"/>
          <w:lang w:eastAsia="zh-CN"/>
        </w:rPr>
        <w:t>查询。</w:t>
      </w:r>
    </w:p>
    <w:p>
      <w:pPr>
        <w:pStyle w:val="8"/>
        <w:rPr>
          <w:rFonts w:hint="eastAsia"/>
        </w:rPr>
      </w:pPr>
    </w:p>
    <w:p>
      <w:pPr>
        <w:pStyle w:val="8"/>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7EBD49"/>
    <w:multiLevelType w:val="singleLevel"/>
    <w:tmpl w:val="FA7EBD49"/>
    <w:lvl w:ilvl="0" w:tentative="0">
      <w:start w:val="2"/>
      <w:numFmt w:val="decimal"/>
      <w:lvlText w:val="%1."/>
      <w:lvlJc w:val="left"/>
      <w:pPr>
        <w:tabs>
          <w:tab w:val="left" w:pos="312"/>
        </w:tabs>
      </w:pPr>
    </w:lvl>
  </w:abstractNum>
  <w:abstractNum w:abstractNumId="1">
    <w:nsid w:val="1564AF1A"/>
    <w:multiLevelType w:val="singleLevel"/>
    <w:tmpl w:val="1564AF1A"/>
    <w:lvl w:ilvl="0" w:tentative="0">
      <w:start w:val="5"/>
      <w:numFmt w:val="chineseCounting"/>
      <w:suff w:val="nothing"/>
      <w:lvlText w:val="（%1）"/>
      <w:lvlJc w:val="left"/>
      <w:rPr>
        <w:rFonts w:hint="eastAsia"/>
      </w:rPr>
    </w:lvl>
  </w:abstractNum>
  <w:abstractNum w:abstractNumId="2">
    <w:nsid w:val="56A227AF"/>
    <w:multiLevelType w:val="singleLevel"/>
    <w:tmpl w:val="56A227AF"/>
    <w:lvl w:ilvl="0" w:tentative="0">
      <w:start w:val="7"/>
      <w:numFmt w:val="chineseCounting"/>
      <w:suff w:val="nothing"/>
      <w:lvlText w:val="%1、"/>
      <w:lvlJc w:val="left"/>
      <w:rPr>
        <w:rFonts w:hint="eastAsia"/>
      </w:rPr>
    </w:lvl>
  </w:abstractNum>
  <w:abstractNum w:abstractNumId="3">
    <w:nsid w:val="57C6E86B"/>
    <w:multiLevelType w:val="singleLevel"/>
    <w:tmpl w:val="57C6E86B"/>
    <w:lvl w:ilvl="0" w:tentative="0">
      <w:start w:val="5"/>
      <w:numFmt w:val="decimal"/>
      <w:lvlText w:val="%1."/>
      <w:lvlJc w:val="left"/>
      <w:pPr>
        <w:tabs>
          <w:tab w:val="left" w:pos="312"/>
        </w:tabs>
      </w:pPr>
    </w:lvl>
  </w:abstractNum>
  <w:abstractNum w:abstractNumId="4">
    <w:nsid w:val="5B55CC84"/>
    <w:multiLevelType w:val="singleLevel"/>
    <w:tmpl w:val="5B55CC8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6"/>
    <w:basedOn w:val="1"/>
    <w:next w:val="1"/>
    <w:link w:val="18"/>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0">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8"/>
      <w:szCs w:val="28"/>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unhideWhenUsed/>
    <w:qFormat/>
    <w:uiPriority w:val="0"/>
    <w:pPr>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FollowedHyperlink"/>
    <w:basedOn w:val="10"/>
    <w:qFormat/>
    <w:uiPriority w:val="0"/>
    <w:rPr>
      <w:color w:val="800080"/>
      <w:u w:val="single"/>
    </w:rPr>
  </w:style>
  <w:style w:type="character" w:styleId="12">
    <w:name w:val="Emphasis"/>
    <w:basedOn w:val="10"/>
    <w:qFormat/>
    <w:uiPriority w:val="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styleId="14">
    <w:name w:val="footnote reference"/>
    <w:basedOn w:val="10"/>
    <w:unhideWhenUsed/>
    <w:qFormat/>
    <w:uiPriority w:val="0"/>
    <w:rPr>
      <w:vertAlign w:val="superscript"/>
    </w:rPr>
  </w:style>
  <w:style w:type="table" w:styleId="16">
    <w:name w:val="Table Grid"/>
    <w:basedOn w:val="1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样式5"/>
    <w:basedOn w:val="1"/>
    <w:qFormat/>
    <w:uiPriority w:val="0"/>
    <w:pPr>
      <w:widowControl/>
      <w:spacing w:line="300" w:lineRule="auto"/>
      <w:jc w:val="left"/>
    </w:pPr>
    <w:rPr>
      <w:rFonts w:ascii="宋体" w:hAnsi="宋体" w:eastAsia="宋体" w:cs="Times New Roman"/>
      <w:color w:val="000000"/>
      <w:kern w:val="0"/>
      <w:sz w:val="24"/>
      <w:szCs w:val="24"/>
    </w:rPr>
  </w:style>
  <w:style w:type="character" w:customStyle="1" w:styleId="18">
    <w:name w:val="标题 6 字符"/>
    <w:basedOn w:val="10"/>
    <w:link w:val="4"/>
    <w:qFormat/>
    <w:uiPriority w:val="9"/>
    <w:rPr>
      <w:rFonts w:asciiTheme="majorHAnsi" w:hAnsiTheme="majorHAnsi" w:eastAsiaTheme="majorEastAsia" w:cstheme="majorBidi"/>
      <w:b/>
      <w:bCs/>
      <w:sz w:val="24"/>
      <w:szCs w:val="24"/>
    </w:rPr>
  </w:style>
  <w:style w:type="table" w:customStyle="1" w:styleId="19">
    <w:name w:val="网格型1"/>
    <w:basedOn w:val="1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font81"/>
    <w:basedOn w:val="10"/>
    <w:qFormat/>
    <w:uiPriority w:val="0"/>
    <w:rPr>
      <w:rFonts w:hint="eastAsia" w:ascii="宋体" w:hAnsi="宋体" w:eastAsia="宋体" w:cs="宋体"/>
      <w:b/>
      <w:bCs/>
      <w:color w:val="000000"/>
      <w:sz w:val="20"/>
      <w:szCs w:val="20"/>
      <w:u w:val="none"/>
    </w:rPr>
  </w:style>
  <w:style w:type="character" w:customStyle="1" w:styleId="21">
    <w:name w:val="font51"/>
    <w:basedOn w:val="10"/>
    <w:qFormat/>
    <w:uiPriority w:val="0"/>
    <w:rPr>
      <w:rFonts w:hint="eastAsia" w:ascii="宋体" w:hAnsi="宋体" w:eastAsia="宋体" w:cs="宋体"/>
      <w:b/>
      <w:bCs/>
      <w:color w:val="000000"/>
      <w:sz w:val="20"/>
      <w:szCs w:val="20"/>
      <w:u w:val="none"/>
    </w:rPr>
  </w:style>
  <w:style w:type="character" w:customStyle="1" w:styleId="22">
    <w:name w:val="font71"/>
    <w:basedOn w:val="10"/>
    <w:qFormat/>
    <w:uiPriority w:val="0"/>
    <w:rPr>
      <w:rFonts w:ascii="等线" w:hAnsi="等线" w:eastAsia="等线" w:cs="等线"/>
      <w:color w:val="000000"/>
      <w:sz w:val="22"/>
      <w:szCs w:val="22"/>
      <w:u w:val="none"/>
    </w:rPr>
  </w:style>
  <w:style w:type="character" w:customStyle="1" w:styleId="23">
    <w:name w:val="font61"/>
    <w:basedOn w:val="10"/>
    <w:qFormat/>
    <w:uiPriority w:val="0"/>
    <w:rPr>
      <w:rFonts w:hint="eastAsia" w:ascii="宋体" w:hAnsi="宋体" w:eastAsia="宋体" w:cs="宋体"/>
      <w:color w:val="000000"/>
      <w:sz w:val="22"/>
      <w:szCs w:val="22"/>
      <w:u w:val="none"/>
    </w:rPr>
  </w:style>
  <w:style w:type="character" w:customStyle="1" w:styleId="24">
    <w:name w:val="10"/>
    <w:basedOn w:val="10"/>
    <w:qFormat/>
    <w:uiPriority w:val="0"/>
    <w:rPr>
      <w:rFonts w:hint="default" w:ascii="Times New Roman" w:hAnsi="Times New Roman" w:cs="Times New Roman"/>
    </w:rPr>
  </w:style>
  <w:style w:type="character" w:customStyle="1" w:styleId="25">
    <w:name w:val="15"/>
    <w:basedOn w:val="10"/>
    <w:qFormat/>
    <w:uiPriority w:val="0"/>
    <w:rPr>
      <w:rFonts w:hint="default" w:ascii="Times New Roman" w:hAnsi="Times New Roman" w:cs="Times New Roman"/>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15510</Words>
  <Characters>16277</Characters>
  <Lines>1</Lines>
  <Paragraphs>1</Paragraphs>
  <TotalTime>0</TotalTime>
  <ScaleCrop>false</ScaleCrop>
  <LinksUpToDate>false</LinksUpToDate>
  <CharactersWithSpaces>16390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2023-04-13T16:01:00Z</dcterms:created>
  <dc:creator>86156</dc:creator>
  <cp:lastModifiedBy>iPhone</cp:lastModifiedBy>
  <dcterms:modified xsi:type="dcterms:W3CDTF">2023-08-02T14:04:17Z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vt:lpwstr>
  </property>
  <property fmtid="{D5CDD505-2E9C-101B-9397-08002B2CF9AE}" pid="3" name="ICV">
    <vt:lpwstr>14092E42CEDF3FCAE1F1C9649CEF2A6B_33</vt:lpwstr>
  </property>
</Properties>
</file>